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6C6BD" w14:textId="77777777" w:rsidR="006C29CE" w:rsidRPr="00866D11" w:rsidRDefault="00456102" w:rsidP="004251CE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bCs/>
          <w:sz w:val="24"/>
          <w:szCs w:val="24"/>
        </w:rPr>
      </w:pPr>
      <w:r>
        <w:rPr>
          <w:rFonts w:ascii="Arial Narrow" w:eastAsia="Times New Roman" w:hAnsi="Arial Narrow"/>
          <w:b/>
          <w:bCs/>
          <w:sz w:val="24"/>
          <w:szCs w:val="24"/>
        </w:rPr>
        <w:t xml:space="preserve">Guidance </w:t>
      </w:r>
      <w:r w:rsidR="00762A0B">
        <w:rPr>
          <w:rFonts w:ascii="Arial Narrow" w:eastAsia="Times New Roman" w:hAnsi="Arial Narrow"/>
          <w:b/>
          <w:bCs/>
          <w:sz w:val="24"/>
          <w:szCs w:val="24"/>
        </w:rPr>
        <w:t>7</w:t>
      </w:r>
    </w:p>
    <w:p w14:paraId="18C3243E" w14:textId="77777777" w:rsidR="0059519D" w:rsidRPr="00866D11" w:rsidRDefault="000D6064" w:rsidP="004251CE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866D11">
        <w:rPr>
          <w:rFonts w:ascii="Arial Narrow" w:hAnsi="Arial Narrow"/>
          <w:b/>
          <w:sz w:val="24"/>
          <w:szCs w:val="24"/>
        </w:rPr>
        <w:t>F</w:t>
      </w:r>
      <w:r w:rsidR="00E820F6" w:rsidRPr="00866D11">
        <w:rPr>
          <w:rFonts w:ascii="Arial Narrow" w:hAnsi="Arial Narrow"/>
          <w:b/>
          <w:sz w:val="24"/>
          <w:szCs w:val="24"/>
        </w:rPr>
        <w:t>orensic and Civil</w:t>
      </w:r>
      <w:r w:rsidR="00B167F1" w:rsidRPr="00866D11">
        <w:rPr>
          <w:rFonts w:ascii="Arial Narrow" w:hAnsi="Arial Narrow"/>
          <w:b/>
          <w:sz w:val="24"/>
          <w:szCs w:val="24"/>
        </w:rPr>
        <w:t xml:space="preserve"> Treatment Facility </w:t>
      </w:r>
      <w:r w:rsidR="00952695" w:rsidRPr="00866D11">
        <w:rPr>
          <w:rFonts w:ascii="Arial Narrow" w:hAnsi="Arial Narrow"/>
          <w:b/>
          <w:sz w:val="24"/>
          <w:szCs w:val="24"/>
        </w:rPr>
        <w:t>Admission and Discharge Processes</w:t>
      </w:r>
    </w:p>
    <w:p w14:paraId="1152215D" w14:textId="77777777" w:rsidR="0059519D" w:rsidRPr="00866D11" w:rsidRDefault="0059519D" w:rsidP="004251CE">
      <w:pPr>
        <w:spacing w:after="0" w:line="240" w:lineRule="auto"/>
        <w:rPr>
          <w:rFonts w:ascii="Arial Narrow" w:hAnsi="Arial Narrow"/>
          <w:b/>
        </w:rPr>
      </w:pPr>
    </w:p>
    <w:p w14:paraId="16D6A12A" w14:textId="77777777" w:rsidR="004251CE" w:rsidRPr="00866D11" w:rsidRDefault="0059519D" w:rsidP="004251CE">
      <w:pPr>
        <w:spacing w:before="120" w:after="120" w:line="240" w:lineRule="auto"/>
        <w:rPr>
          <w:rFonts w:ascii="Arial Narrow" w:hAnsi="Arial Narrow"/>
          <w:i/>
        </w:rPr>
      </w:pPr>
      <w:r w:rsidRPr="00866D11">
        <w:rPr>
          <w:rFonts w:ascii="Arial Narrow" w:hAnsi="Arial Narrow"/>
          <w:b/>
        </w:rPr>
        <w:t>Requirement:</w:t>
      </w:r>
      <w:r w:rsidRPr="00866D11">
        <w:rPr>
          <w:rFonts w:ascii="Arial Narrow" w:hAnsi="Arial Narrow"/>
        </w:rPr>
        <w:tab/>
      </w:r>
      <w:r w:rsidR="004251CE" w:rsidRPr="00866D11">
        <w:rPr>
          <w:rFonts w:ascii="Arial Narrow" w:hAnsi="Arial Narrow"/>
          <w:i/>
        </w:rPr>
        <w:t xml:space="preserve">Chapter 394, F.S. </w:t>
      </w:r>
    </w:p>
    <w:p w14:paraId="42F17A76" w14:textId="77777777" w:rsidR="004251CE" w:rsidRDefault="004251CE" w:rsidP="004251CE">
      <w:pPr>
        <w:spacing w:before="120" w:after="120" w:line="240" w:lineRule="auto"/>
        <w:rPr>
          <w:rFonts w:ascii="Arial Narrow" w:hAnsi="Arial Narrow"/>
          <w:i/>
        </w:rPr>
      </w:pPr>
      <w:r w:rsidRPr="00866D11">
        <w:rPr>
          <w:rFonts w:ascii="Arial Narrow" w:hAnsi="Arial Narrow"/>
          <w:i/>
        </w:rPr>
        <w:tab/>
      </w:r>
      <w:r w:rsidRPr="00866D11">
        <w:rPr>
          <w:rFonts w:ascii="Arial Narrow" w:hAnsi="Arial Narrow"/>
          <w:i/>
        </w:rPr>
        <w:tab/>
        <w:t xml:space="preserve">Chapter 916, F.S. </w:t>
      </w:r>
    </w:p>
    <w:p w14:paraId="44F3CF2B" w14:textId="77777777" w:rsidR="00286621" w:rsidRPr="00866D11" w:rsidRDefault="00286621" w:rsidP="004251CE">
      <w:pPr>
        <w:spacing w:before="120" w:after="12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 w:rsidR="00D17336">
        <w:rPr>
          <w:rFonts w:ascii="Arial Narrow" w:hAnsi="Arial Narrow"/>
          <w:i/>
        </w:rPr>
        <w:t xml:space="preserve">Rule </w:t>
      </w:r>
      <w:r>
        <w:rPr>
          <w:rFonts w:ascii="Arial Narrow" w:hAnsi="Arial Narrow"/>
          <w:i/>
        </w:rPr>
        <w:t>65E-4.014, F.</w:t>
      </w:r>
      <w:r w:rsidR="00D17336">
        <w:rPr>
          <w:rFonts w:ascii="Arial Narrow" w:hAnsi="Arial Narrow"/>
          <w:i/>
        </w:rPr>
        <w:t>A</w:t>
      </w:r>
      <w:r>
        <w:rPr>
          <w:rFonts w:ascii="Arial Narrow" w:hAnsi="Arial Narrow"/>
          <w:i/>
        </w:rPr>
        <w:t>.</w:t>
      </w:r>
      <w:r w:rsidR="00D17336">
        <w:rPr>
          <w:rFonts w:ascii="Arial Narrow" w:hAnsi="Arial Narrow"/>
          <w:i/>
        </w:rPr>
        <w:t>C.</w:t>
      </w:r>
      <w:r>
        <w:rPr>
          <w:rFonts w:ascii="Arial Narrow" w:hAnsi="Arial Narrow"/>
          <w:i/>
        </w:rPr>
        <w:t xml:space="preserve"> </w:t>
      </w:r>
    </w:p>
    <w:p w14:paraId="617232D3" w14:textId="77777777" w:rsidR="004251CE" w:rsidRPr="00866D11" w:rsidRDefault="004251CE" w:rsidP="004251CE">
      <w:pPr>
        <w:spacing w:before="120" w:after="120" w:line="240" w:lineRule="auto"/>
        <w:rPr>
          <w:rFonts w:ascii="Arial Narrow" w:hAnsi="Arial Narrow"/>
          <w:i/>
        </w:rPr>
      </w:pPr>
      <w:r w:rsidRPr="00866D11">
        <w:rPr>
          <w:rFonts w:ascii="Arial Narrow" w:hAnsi="Arial Narrow"/>
          <w:i/>
        </w:rPr>
        <w:tab/>
      </w:r>
      <w:r w:rsidRPr="00866D11">
        <w:rPr>
          <w:rFonts w:ascii="Arial Narrow" w:hAnsi="Arial Narrow"/>
          <w:i/>
        </w:rPr>
        <w:tab/>
        <w:t>Chapter 65E-5, F.A.C.</w:t>
      </w:r>
    </w:p>
    <w:p w14:paraId="34C720A5" w14:textId="7B699483" w:rsidR="00034572" w:rsidRPr="00866D11" w:rsidRDefault="004251CE" w:rsidP="0044445A">
      <w:pPr>
        <w:spacing w:before="120" w:after="120" w:line="240" w:lineRule="auto"/>
        <w:rPr>
          <w:rFonts w:ascii="Arial Narrow" w:hAnsi="Arial Narrow"/>
          <w:i/>
        </w:rPr>
      </w:pPr>
      <w:r w:rsidRPr="00866D11">
        <w:rPr>
          <w:rFonts w:ascii="Arial Narrow" w:hAnsi="Arial Narrow"/>
          <w:i/>
        </w:rPr>
        <w:tab/>
      </w:r>
      <w:r w:rsidRPr="00866D11">
        <w:rPr>
          <w:rFonts w:ascii="Arial Narrow" w:hAnsi="Arial Narrow"/>
          <w:i/>
        </w:rPr>
        <w:tab/>
        <w:t>Children and Families Operating Procedures (CFOP) 155-13, 17, 18, 19, 22, 38, 48</w:t>
      </w:r>
      <w:r w:rsidR="0059519D" w:rsidRPr="00866D11">
        <w:rPr>
          <w:rFonts w:ascii="Arial Narrow" w:hAnsi="Arial Narrow"/>
          <w:i/>
        </w:rPr>
        <w:tab/>
      </w:r>
    </w:p>
    <w:p w14:paraId="563C1B0E" w14:textId="77777777" w:rsidR="0059519D" w:rsidRPr="00866D11" w:rsidRDefault="0059519D" w:rsidP="004251CE">
      <w:pPr>
        <w:spacing w:before="120" w:after="120" w:line="240" w:lineRule="auto"/>
        <w:rPr>
          <w:rFonts w:ascii="Arial Narrow" w:hAnsi="Arial Narrow"/>
        </w:rPr>
      </w:pPr>
      <w:r w:rsidRPr="00866D11">
        <w:rPr>
          <w:rFonts w:ascii="Arial Narrow" w:hAnsi="Arial Narrow"/>
          <w:b/>
        </w:rPr>
        <w:t>Frequency:</w:t>
      </w:r>
      <w:r w:rsidRPr="00866D11">
        <w:rPr>
          <w:rFonts w:ascii="Arial Narrow" w:hAnsi="Arial Narrow"/>
        </w:rPr>
        <w:tab/>
      </w:r>
      <w:r w:rsidR="00952695" w:rsidRPr="00866D11">
        <w:rPr>
          <w:rFonts w:ascii="Arial Narrow" w:hAnsi="Arial Narrow"/>
        </w:rPr>
        <w:t>Ongoing</w:t>
      </w:r>
    </w:p>
    <w:p w14:paraId="5AE6BC01" w14:textId="77777777" w:rsidR="00952695" w:rsidRPr="00866D11" w:rsidRDefault="0059519D" w:rsidP="004251CE">
      <w:pPr>
        <w:tabs>
          <w:tab w:val="left" w:pos="1440"/>
        </w:tabs>
        <w:spacing w:before="120" w:after="120" w:line="240" w:lineRule="auto"/>
        <w:ind w:left="2160" w:hanging="2160"/>
        <w:rPr>
          <w:rFonts w:ascii="Arial Narrow" w:hAnsi="Arial Narrow"/>
        </w:rPr>
      </w:pPr>
      <w:r w:rsidRPr="00866D11">
        <w:rPr>
          <w:rFonts w:ascii="Arial Narrow" w:hAnsi="Arial Narrow"/>
          <w:b/>
        </w:rPr>
        <w:t>Due Date:</w:t>
      </w:r>
      <w:r w:rsidR="006C29CE" w:rsidRPr="00866D11">
        <w:rPr>
          <w:rFonts w:ascii="Arial Narrow" w:hAnsi="Arial Narrow"/>
        </w:rPr>
        <w:tab/>
      </w:r>
      <w:r w:rsidR="00952695" w:rsidRPr="00866D11">
        <w:rPr>
          <w:rFonts w:ascii="Arial Narrow" w:hAnsi="Arial Narrow"/>
        </w:rPr>
        <w:t xml:space="preserve">N/A </w:t>
      </w:r>
    </w:p>
    <w:p w14:paraId="60C75CFC" w14:textId="77777777" w:rsidR="000D6064" w:rsidRPr="00866D11" w:rsidRDefault="0059519D" w:rsidP="004251CE">
      <w:pPr>
        <w:tabs>
          <w:tab w:val="left" w:pos="1440"/>
        </w:tabs>
        <w:spacing w:before="120" w:after="120" w:line="240" w:lineRule="auto"/>
        <w:ind w:left="2880" w:hanging="2880"/>
        <w:rPr>
          <w:rFonts w:ascii="Arial Narrow" w:hAnsi="Arial Narrow"/>
          <w:b/>
        </w:rPr>
      </w:pPr>
      <w:r w:rsidRPr="00866D11">
        <w:rPr>
          <w:rFonts w:ascii="Arial Narrow" w:hAnsi="Arial Narrow"/>
          <w:b/>
        </w:rPr>
        <w:t>D</w:t>
      </w:r>
      <w:r w:rsidR="000D6064" w:rsidRPr="00866D11">
        <w:rPr>
          <w:rFonts w:ascii="Arial Narrow" w:hAnsi="Arial Narrow"/>
          <w:b/>
        </w:rPr>
        <w:t>iscussion:</w:t>
      </w:r>
      <w:r w:rsidR="000D6064" w:rsidRPr="00866D11">
        <w:rPr>
          <w:rFonts w:ascii="Arial Narrow" w:hAnsi="Arial Narrow"/>
          <w:b/>
        </w:rPr>
        <w:tab/>
      </w:r>
      <w:bookmarkStart w:id="0" w:name="_GoBack"/>
      <w:bookmarkEnd w:id="0"/>
    </w:p>
    <w:p w14:paraId="5B471B98" w14:textId="77777777" w:rsidR="000D6064" w:rsidRPr="00866D11" w:rsidRDefault="000D6064" w:rsidP="004251CE">
      <w:pPr>
        <w:tabs>
          <w:tab w:val="left" w:pos="1440"/>
        </w:tabs>
        <w:spacing w:before="120" w:after="120" w:line="240" w:lineRule="auto"/>
        <w:ind w:left="2880" w:hanging="2880"/>
        <w:rPr>
          <w:rFonts w:ascii="Arial Narrow" w:hAnsi="Arial Narrow"/>
          <w:b/>
        </w:rPr>
      </w:pPr>
    </w:p>
    <w:p w14:paraId="51FA6D36" w14:textId="77777777" w:rsidR="00E820F6" w:rsidRPr="00866D11" w:rsidRDefault="00F03943" w:rsidP="004251CE">
      <w:pPr>
        <w:tabs>
          <w:tab w:val="left" w:pos="1440"/>
        </w:tabs>
        <w:spacing w:before="120" w:after="120" w:line="240" w:lineRule="auto"/>
        <w:ind w:left="2880" w:hanging="2880"/>
        <w:rPr>
          <w:rFonts w:ascii="Arial Narrow" w:hAnsi="Arial Narrow"/>
          <w:b/>
        </w:rPr>
      </w:pPr>
      <w:r w:rsidRPr="00866D11">
        <w:rPr>
          <w:rFonts w:ascii="Arial Narrow" w:hAnsi="Arial Narrow"/>
          <w:b/>
        </w:rPr>
        <w:t xml:space="preserve">CIVIL ADMISSION AND DISCHARGE  </w:t>
      </w:r>
    </w:p>
    <w:p w14:paraId="0F3C860A" w14:textId="7F6298D2" w:rsidR="00DF0757" w:rsidRPr="00866D11" w:rsidRDefault="004251CE" w:rsidP="004251CE">
      <w:pPr>
        <w:spacing w:before="120" w:after="120" w:line="240" w:lineRule="auto"/>
        <w:rPr>
          <w:rFonts w:ascii="Arial Narrow" w:hAnsi="Arial Narrow"/>
        </w:rPr>
      </w:pPr>
      <w:r w:rsidRPr="009A6BFD">
        <w:rPr>
          <w:rFonts w:ascii="Arial Narrow" w:hAnsi="Arial Narrow"/>
          <w:i/>
        </w:rPr>
        <w:t>Section 394.4573, F.S.,</w:t>
      </w:r>
      <w:r w:rsidRPr="00866D11">
        <w:rPr>
          <w:rFonts w:ascii="Arial Narrow" w:hAnsi="Arial Narrow"/>
        </w:rPr>
        <w:t xml:space="preserve"> requires the Department to implement a continuity of care management system to provide mental health care for individuals referred from State Mental Health Treatment Facility (SMHTF) to the community. To </w:t>
      </w:r>
      <w:r w:rsidR="003C4DD0" w:rsidRPr="00866D11">
        <w:rPr>
          <w:rFonts w:ascii="Arial Narrow" w:hAnsi="Arial Narrow"/>
        </w:rPr>
        <w:t xml:space="preserve">comply with </w:t>
      </w:r>
      <w:r w:rsidR="00D17336">
        <w:rPr>
          <w:rFonts w:ascii="Arial Narrow" w:hAnsi="Arial Narrow"/>
        </w:rPr>
        <w:t>s.</w:t>
      </w:r>
      <w:r w:rsidR="003C4DD0" w:rsidRPr="009A6BFD">
        <w:rPr>
          <w:rFonts w:ascii="Arial Narrow" w:hAnsi="Arial Narrow"/>
          <w:i/>
        </w:rPr>
        <w:t xml:space="preserve"> 394.4573, F.S.</w:t>
      </w:r>
      <w:r w:rsidR="003C4DD0" w:rsidRPr="00866D11">
        <w:rPr>
          <w:rFonts w:ascii="Arial Narrow" w:hAnsi="Arial Narrow"/>
        </w:rPr>
        <w:t xml:space="preserve"> </w:t>
      </w:r>
      <w:r w:rsidRPr="00866D11">
        <w:rPr>
          <w:rFonts w:ascii="Arial Narrow" w:hAnsi="Arial Narrow"/>
        </w:rPr>
        <w:t xml:space="preserve">the Managing Entity will contract with Network Service Providers to provide </w:t>
      </w:r>
      <w:r w:rsidR="003C4DD0" w:rsidRPr="00866D11">
        <w:rPr>
          <w:rFonts w:ascii="Arial Narrow" w:hAnsi="Arial Narrow"/>
        </w:rPr>
        <w:t xml:space="preserve">case management services for each civil resident of a SMHTF whose home county is within the Managing Entity geographic service area. These services may be provided by </w:t>
      </w:r>
      <w:r w:rsidRPr="00866D11">
        <w:rPr>
          <w:rFonts w:ascii="Arial Narrow" w:hAnsi="Arial Narrow"/>
        </w:rPr>
        <w:t xml:space="preserve">a community case manager, a Florida Assertive Community Treatment (FACT) team member, or </w:t>
      </w:r>
      <w:r w:rsidR="005E3B39" w:rsidRPr="00866D11">
        <w:rPr>
          <w:rFonts w:ascii="Arial Narrow" w:hAnsi="Arial Narrow"/>
        </w:rPr>
        <w:t>another</w:t>
      </w:r>
      <w:r w:rsidRPr="00866D11">
        <w:rPr>
          <w:rFonts w:ascii="Arial Narrow" w:hAnsi="Arial Narrow"/>
        </w:rPr>
        <w:t xml:space="preserve"> designated community </w:t>
      </w:r>
      <w:r w:rsidR="003C4DD0" w:rsidRPr="00866D11">
        <w:rPr>
          <w:rFonts w:ascii="Arial Narrow" w:hAnsi="Arial Narrow"/>
        </w:rPr>
        <w:t xml:space="preserve">Network Service Provider </w:t>
      </w:r>
      <w:r w:rsidRPr="00866D11">
        <w:rPr>
          <w:rFonts w:ascii="Arial Narrow" w:hAnsi="Arial Narrow"/>
        </w:rPr>
        <w:t>staff.</w:t>
      </w:r>
      <w:r w:rsidRPr="00866D11">
        <w:rPr>
          <w:rFonts w:ascii="Arial Narrow" w:hAnsi="Arial Narrow"/>
          <w:i/>
        </w:rPr>
        <w:t xml:space="preserve">  </w:t>
      </w:r>
      <w:r w:rsidR="00286621">
        <w:rPr>
          <w:rFonts w:ascii="Arial Narrow" w:hAnsi="Arial Narrow"/>
        </w:rPr>
        <w:t>T</w:t>
      </w:r>
      <w:r w:rsidRPr="00866D11">
        <w:rPr>
          <w:rFonts w:ascii="Arial Narrow" w:hAnsi="Arial Narrow"/>
        </w:rPr>
        <w:t xml:space="preserve">he Managing Entity shall </w:t>
      </w:r>
      <w:r w:rsidR="00286621">
        <w:rPr>
          <w:rFonts w:ascii="Arial Narrow" w:hAnsi="Arial Narrow"/>
        </w:rPr>
        <w:t xml:space="preserve">ensure the following activities are </w:t>
      </w:r>
      <w:r w:rsidR="00571108">
        <w:rPr>
          <w:rFonts w:ascii="Arial Narrow" w:hAnsi="Arial Narrow"/>
        </w:rPr>
        <w:t xml:space="preserve">performed </w:t>
      </w:r>
      <w:r w:rsidRPr="00866D11">
        <w:rPr>
          <w:rFonts w:ascii="Arial Narrow" w:hAnsi="Arial Narrow"/>
        </w:rPr>
        <w:t xml:space="preserve">for individuals transferring into or out of state </w:t>
      </w:r>
      <w:r w:rsidR="00F55D50">
        <w:rPr>
          <w:rFonts w:ascii="Arial Narrow" w:hAnsi="Arial Narrow"/>
        </w:rPr>
        <w:t xml:space="preserve">mental health </w:t>
      </w:r>
      <w:r w:rsidRPr="00866D11">
        <w:rPr>
          <w:rFonts w:ascii="Arial Narrow" w:hAnsi="Arial Narrow"/>
        </w:rPr>
        <w:t>treatment facilities:</w:t>
      </w:r>
    </w:p>
    <w:p w14:paraId="1FEEE3CF" w14:textId="77777777" w:rsidR="00286621" w:rsidRPr="00571108" w:rsidRDefault="00DF0757" w:rsidP="004251CE">
      <w:pPr>
        <w:numPr>
          <w:ilvl w:val="0"/>
          <w:numId w:val="10"/>
        </w:numPr>
        <w:spacing w:before="120" w:after="120" w:line="240" w:lineRule="auto"/>
        <w:rPr>
          <w:rFonts w:ascii="Arial Narrow" w:hAnsi="Arial Narrow"/>
        </w:rPr>
      </w:pPr>
      <w:r w:rsidRPr="00571108">
        <w:rPr>
          <w:rFonts w:ascii="Arial Narrow" w:hAnsi="Arial Narrow"/>
        </w:rPr>
        <w:t>A</w:t>
      </w:r>
      <w:r w:rsidR="004251CE" w:rsidRPr="00571108">
        <w:rPr>
          <w:rFonts w:ascii="Arial Narrow" w:hAnsi="Arial Narrow"/>
        </w:rPr>
        <w:t>n</w:t>
      </w:r>
      <w:r w:rsidRPr="00571108">
        <w:rPr>
          <w:rFonts w:ascii="Arial Narrow" w:hAnsi="Arial Narrow"/>
        </w:rPr>
        <w:t xml:space="preserve"> </w:t>
      </w:r>
      <w:r w:rsidR="004251CE" w:rsidRPr="00571108">
        <w:rPr>
          <w:rFonts w:ascii="Arial Narrow" w:hAnsi="Arial Narrow"/>
        </w:rPr>
        <w:t xml:space="preserve">individual’s </w:t>
      </w:r>
      <w:r w:rsidRPr="00571108">
        <w:rPr>
          <w:rFonts w:ascii="Arial Narrow" w:hAnsi="Arial Narrow"/>
        </w:rPr>
        <w:t xml:space="preserve">case will remain open during the time the </w:t>
      </w:r>
      <w:r w:rsidR="004251CE" w:rsidRPr="00571108">
        <w:rPr>
          <w:rFonts w:ascii="Arial Narrow" w:hAnsi="Arial Narrow"/>
        </w:rPr>
        <w:t>individual</w:t>
      </w:r>
      <w:r w:rsidRPr="00571108">
        <w:rPr>
          <w:rFonts w:ascii="Arial Narrow" w:hAnsi="Arial Narrow"/>
        </w:rPr>
        <w:t xml:space="preserve"> resides at a</w:t>
      </w:r>
      <w:r w:rsidR="00F55D50" w:rsidRPr="00571108">
        <w:rPr>
          <w:rFonts w:ascii="Arial Narrow" w:hAnsi="Arial Narrow"/>
        </w:rPr>
        <w:t xml:space="preserve"> SMHTF</w:t>
      </w:r>
    </w:p>
    <w:p w14:paraId="2AA63C31" w14:textId="77777777" w:rsidR="00034572" w:rsidRPr="00866D11" w:rsidRDefault="00DF0757" w:rsidP="004251CE">
      <w:pPr>
        <w:numPr>
          <w:ilvl w:val="0"/>
          <w:numId w:val="10"/>
        </w:numPr>
        <w:spacing w:before="120" w:after="120" w:line="240" w:lineRule="auto"/>
        <w:rPr>
          <w:rFonts w:ascii="Arial Narrow" w:hAnsi="Arial Narrow"/>
        </w:rPr>
      </w:pPr>
      <w:r w:rsidRPr="00571108">
        <w:rPr>
          <w:rFonts w:ascii="Arial Narrow" w:hAnsi="Arial Narrow"/>
        </w:rPr>
        <w:t>The case manager</w:t>
      </w:r>
      <w:r w:rsidR="004251CE" w:rsidRPr="00571108">
        <w:rPr>
          <w:rFonts w:ascii="Arial Narrow" w:hAnsi="Arial Narrow"/>
        </w:rPr>
        <w:t>,</w:t>
      </w:r>
      <w:r w:rsidRPr="00571108">
        <w:rPr>
          <w:rFonts w:ascii="Arial Narrow" w:hAnsi="Arial Narrow"/>
        </w:rPr>
        <w:t xml:space="preserve"> </w:t>
      </w:r>
      <w:r w:rsidR="004251CE" w:rsidRPr="00571108">
        <w:rPr>
          <w:rFonts w:ascii="Arial Narrow" w:hAnsi="Arial Narrow"/>
        </w:rPr>
        <w:t>or other assigned community behavioral h</w:t>
      </w:r>
      <w:r w:rsidR="004251CE" w:rsidRPr="00866D11">
        <w:rPr>
          <w:rFonts w:ascii="Arial Narrow" w:hAnsi="Arial Narrow"/>
        </w:rPr>
        <w:t xml:space="preserve">ealth staff member, </w:t>
      </w:r>
      <w:r w:rsidRPr="00866D11">
        <w:rPr>
          <w:rFonts w:ascii="Arial Narrow" w:hAnsi="Arial Narrow"/>
        </w:rPr>
        <w:t>shall:</w:t>
      </w:r>
    </w:p>
    <w:p w14:paraId="465FDBEC" w14:textId="6E488FA1" w:rsidR="00034572" w:rsidRPr="00866D11" w:rsidRDefault="00DF0757" w:rsidP="004251CE">
      <w:pPr>
        <w:numPr>
          <w:ilvl w:val="1"/>
          <w:numId w:val="10"/>
        </w:numPr>
        <w:spacing w:before="120" w:after="120" w:line="240" w:lineRule="auto"/>
        <w:ind w:left="1080" w:firstLine="0"/>
        <w:rPr>
          <w:rFonts w:ascii="Arial Narrow" w:hAnsi="Arial Narrow"/>
        </w:rPr>
      </w:pPr>
      <w:r w:rsidRPr="00866D11">
        <w:rPr>
          <w:rFonts w:ascii="Arial Narrow" w:hAnsi="Arial Narrow"/>
        </w:rPr>
        <w:t xml:space="preserve">Participate in </w:t>
      </w:r>
      <w:r w:rsidR="000D6064" w:rsidRPr="00866D11">
        <w:rPr>
          <w:rFonts w:ascii="Arial Narrow" w:hAnsi="Arial Narrow"/>
        </w:rPr>
        <w:t xml:space="preserve">the </w:t>
      </w:r>
      <w:r w:rsidRPr="00866D11">
        <w:rPr>
          <w:rFonts w:ascii="Arial Narrow" w:hAnsi="Arial Narrow"/>
        </w:rPr>
        <w:t xml:space="preserve">development of a </w:t>
      </w:r>
      <w:r w:rsidR="0097059B" w:rsidRPr="00866D11">
        <w:rPr>
          <w:rFonts w:ascii="Arial Narrow" w:hAnsi="Arial Narrow"/>
        </w:rPr>
        <w:t>SMHTF</w:t>
      </w:r>
      <w:r w:rsidR="002E0F78">
        <w:rPr>
          <w:rFonts w:ascii="Arial Narrow" w:hAnsi="Arial Narrow"/>
        </w:rPr>
        <w:t xml:space="preserve"> </w:t>
      </w:r>
      <w:r w:rsidR="002C4308">
        <w:rPr>
          <w:rFonts w:ascii="Arial Narrow" w:hAnsi="Arial Narrow"/>
        </w:rPr>
        <w:t>service</w:t>
      </w:r>
      <w:r w:rsidR="00535200">
        <w:rPr>
          <w:rFonts w:ascii="Arial Narrow" w:hAnsi="Arial Narrow"/>
        </w:rPr>
        <w:t xml:space="preserve"> </w:t>
      </w:r>
      <w:r w:rsidRPr="00866D11">
        <w:rPr>
          <w:rFonts w:ascii="Arial Narrow" w:hAnsi="Arial Narrow"/>
        </w:rPr>
        <w:t>plan.</w:t>
      </w:r>
    </w:p>
    <w:p w14:paraId="6684C872" w14:textId="77777777" w:rsidR="00034572" w:rsidRPr="00866D11" w:rsidRDefault="00DF0757" w:rsidP="004251CE">
      <w:pPr>
        <w:numPr>
          <w:ilvl w:val="1"/>
          <w:numId w:val="10"/>
        </w:numPr>
        <w:spacing w:before="120" w:after="120" w:line="240" w:lineRule="auto"/>
        <w:ind w:left="1080" w:firstLine="0"/>
        <w:rPr>
          <w:rFonts w:ascii="Arial Narrow" w:hAnsi="Arial Narrow"/>
        </w:rPr>
      </w:pPr>
      <w:r w:rsidRPr="00866D11">
        <w:rPr>
          <w:rFonts w:ascii="Arial Narrow" w:hAnsi="Arial Narrow"/>
        </w:rPr>
        <w:t xml:space="preserve">Maintain at least monthly contact with </w:t>
      </w:r>
      <w:r w:rsidR="0097059B" w:rsidRPr="00866D11">
        <w:rPr>
          <w:rFonts w:ascii="Arial Narrow" w:hAnsi="Arial Narrow"/>
        </w:rPr>
        <w:t>SMHTF</w:t>
      </w:r>
      <w:r w:rsidRPr="00866D11">
        <w:rPr>
          <w:rFonts w:ascii="Arial Narrow" w:hAnsi="Arial Narrow"/>
        </w:rPr>
        <w:t xml:space="preserve"> staff concerning the status of the </w:t>
      </w:r>
      <w:r w:rsidR="004251CE" w:rsidRPr="00866D11">
        <w:rPr>
          <w:rFonts w:ascii="Arial Narrow" w:hAnsi="Arial Narrow"/>
        </w:rPr>
        <w:t>individual</w:t>
      </w:r>
      <w:r w:rsidRPr="00866D11">
        <w:rPr>
          <w:rFonts w:ascii="Arial Narrow" w:hAnsi="Arial Narrow"/>
        </w:rPr>
        <w:t>.</w:t>
      </w:r>
    </w:p>
    <w:p w14:paraId="0F0AA3D8" w14:textId="77777777" w:rsidR="00034572" w:rsidRPr="009A6BFD" w:rsidRDefault="00DF0757" w:rsidP="004251CE">
      <w:pPr>
        <w:numPr>
          <w:ilvl w:val="1"/>
          <w:numId w:val="10"/>
        </w:numPr>
        <w:spacing w:before="120" w:after="120" w:line="240" w:lineRule="auto"/>
        <w:ind w:left="1080" w:firstLine="0"/>
        <w:rPr>
          <w:rFonts w:ascii="Arial Narrow" w:hAnsi="Arial Narrow"/>
          <w:i/>
        </w:rPr>
      </w:pPr>
      <w:r w:rsidRPr="00866D11">
        <w:rPr>
          <w:rFonts w:ascii="Arial Narrow" w:hAnsi="Arial Narrow"/>
        </w:rPr>
        <w:t xml:space="preserve">Maintain contact with the </w:t>
      </w:r>
      <w:r w:rsidR="004251CE" w:rsidRPr="00866D11">
        <w:rPr>
          <w:rFonts w:ascii="Arial Narrow" w:hAnsi="Arial Narrow"/>
        </w:rPr>
        <w:t>individual</w:t>
      </w:r>
      <w:r w:rsidRPr="00866D11">
        <w:rPr>
          <w:rFonts w:ascii="Arial Narrow" w:hAnsi="Arial Narrow"/>
        </w:rPr>
        <w:t xml:space="preserve">’s family consistent with </w:t>
      </w:r>
      <w:r w:rsidRPr="009A6BFD">
        <w:rPr>
          <w:rFonts w:ascii="Arial Narrow" w:hAnsi="Arial Narrow"/>
          <w:i/>
        </w:rPr>
        <w:t>Chapter 394, F.S.</w:t>
      </w:r>
    </w:p>
    <w:p w14:paraId="263C548F" w14:textId="77777777" w:rsidR="00034572" w:rsidRPr="00866D11" w:rsidRDefault="00DF0757" w:rsidP="004251CE">
      <w:pPr>
        <w:numPr>
          <w:ilvl w:val="1"/>
          <w:numId w:val="10"/>
        </w:numPr>
        <w:spacing w:before="120" w:after="120" w:line="240" w:lineRule="auto"/>
        <w:ind w:left="1080" w:firstLine="0"/>
        <w:rPr>
          <w:rFonts w:ascii="Arial Narrow" w:hAnsi="Arial Narrow"/>
        </w:rPr>
      </w:pPr>
      <w:r w:rsidRPr="00866D11">
        <w:rPr>
          <w:rFonts w:ascii="Arial Narrow" w:hAnsi="Arial Narrow"/>
        </w:rPr>
        <w:t xml:space="preserve">Share relevant information with the </w:t>
      </w:r>
      <w:r w:rsidR="0097059B" w:rsidRPr="00866D11">
        <w:rPr>
          <w:rFonts w:ascii="Arial Narrow" w:hAnsi="Arial Narrow"/>
        </w:rPr>
        <w:t>SMHTF</w:t>
      </w:r>
      <w:r w:rsidR="004251CE" w:rsidRPr="00866D11">
        <w:rPr>
          <w:rFonts w:ascii="Arial Narrow" w:hAnsi="Arial Narrow"/>
        </w:rPr>
        <w:t xml:space="preserve"> staff</w:t>
      </w:r>
      <w:r w:rsidRPr="00866D11">
        <w:rPr>
          <w:rFonts w:ascii="Arial Narrow" w:hAnsi="Arial Narrow"/>
        </w:rPr>
        <w:t>.</w:t>
      </w:r>
    </w:p>
    <w:p w14:paraId="7384C98A" w14:textId="7F0AB2D0" w:rsidR="00034572" w:rsidRPr="00866D11" w:rsidRDefault="00DF0757" w:rsidP="004251CE">
      <w:pPr>
        <w:numPr>
          <w:ilvl w:val="1"/>
          <w:numId w:val="10"/>
        </w:numPr>
        <w:spacing w:before="120" w:after="120" w:line="240" w:lineRule="auto"/>
        <w:ind w:left="1080" w:firstLine="0"/>
        <w:rPr>
          <w:rFonts w:ascii="Arial Narrow" w:hAnsi="Arial Narrow"/>
        </w:rPr>
      </w:pPr>
      <w:r w:rsidRPr="00866D11">
        <w:rPr>
          <w:rFonts w:ascii="Arial Narrow" w:hAnsi="Arial Narrow"/>
        </w:rPr>
        <w:t xml:space="preserve">Participate in the discharge planning meeting and assist in the development of a </w:t>
      </w:r>
      <w:r w:rsidR="002E0F78">
        <w:rPr>
          <w:rFonts w:ascii="Arial Narrow" w:hAnsi="Arial Narrow"/>
        </w:rPr>
        <w:t xml:space="preserve">transition </w:t>
      </w:r>
      <w:r w:rsidRPr="00866D11">
        <w:rPr>
          <w:rFonts w:ascii="Arial Narrow" w:hAnsi="Arial Narrow"/>
        </w:rPr>
        <w:t xml:space="preserve">plan which addresses the </w:t>
      </w:r>
      <w:r w:rsidR="004251CE" w:rsidRPr="00866D11">
        <w:rPr>
          <w:rFonts w:ascii="Arial Narrow" w:hAnsi="Arial Narrow"/>
        </w:rPr>
        <w:t>individual</w:t>
      </w:r>
      <w:r w:rsidRPr="00866D11">
        <w:rPr>
          <w:rFonts w:ascii="Arial Narrow" w:hAnsi="Arial Narrow"/>
        </w:rPr>
        <w:t>’s needs in the community.</w:t>
      </w:r>
    </w:p>
    <w:p w14:paraId="483499EF" w14:textId="77777777" w:rsidR="00034572" w:rsidRPr="00866D11" w:rsidRDefault="00DF0757" w:rsidP="004251CE">
      <w:pPr>
        <w:numPr>
          <w:ilvl w:val="1"/>
          <w:numId w:val="10"/>
        </w:numPr>
        <w:spacing w:before="120" w:after="120" w:line="240" w:lineRule="auto"/>
        <w:ind w:left="1080" w:firstLine="0"/>
        <w:rPr>
          <w:rFonts w:ascii="Arial Narrow" w:hAnsi="Arial Narrow"/>
        </w:rPr>
      </w:pPr>
      <w:r w:rsidRPr="00866D11">
        <w:rPr>
          <w:rFonts w:ascii="Arial Narrow" w:hAnsi="Arial Narrow"/>
        </w:rPr>
        <w:t xml:space="preserve">Actively carry out linkage and brokerage activities in the community prior to the </w:t>
      </w:r>
      <w:r w:rsidR="004251CE" w:rsidRPr="00866D11">
        <w:rPr>
          <w:rFonts w:ascii="Arial Narrow" w:hAnsi="Arial Narrow"/>
        </w:rPr>
        <w:t>individual’</w:t>
      </w:r>
      <w:r w:rsidRPr="00866D11">
        <w:rPr>
          <w:rFonts w:ascii="Arial Narrow" w:hAnsi="Arial Narrow"/>
        </w:rPr>
        <w:t>s discharge in order to implement the service plan.</w:t>
      </w:r>
    </w:p>
    <w:p w14:paraId="250247C2" w14:textId="77777777" w:rsidR="00034572" w:rsidRPr="00866D11" w:rsidRDefault="00DF0757" w:rsidP="004251CE">
      <w:pPr>
        <w:numPr>
          <w:ilvl w:val="1"/>
          <w:numId w:val="10"/>
        </w:numPr>
        <w:spacing w:before="120" w:after="120" w:line="240" w:lineRule="auto"/>
        <w:ind w:left="1080" w:firstLine="0"/>
        <w:rPr>
          <w:rFonts w:ascii="Arial Narrow" w:hAnsi="Arial Narrow"/>
        </w:rPr>
      </w:pPr>
      <w:r w:rsidRPr="00866D11">
        <w:rPr>
          <w:rFonts w:ascii="Arial Narrow" w:hAnsi="Arial Narrow"/>
        </w:rPr>
        <w:t xml:space="preserve">Have a face-to-face contact with the </w:t>
      </w:r>
      <w:r w:rsidR="004251CE" w:rsidRPr="00866D11">
        <w:rPr>
          <w:rFonts w:ascii="Arial Narrow" w:hAnsi="Arial Narrow"/>
        </w:rPr>
        <w:t>individual</w:t>
      </w:r>
      <w:r w:rsidRPr="00866D11">
        <w:rPr>
          <w:rFonts w:ascii="Arial Narrow" w:hAnsi="Arial Narrow"/>
        </w:rPr>
        <w:t xml:space="preserve"> in the community within 2 working days of discharge from the </w:t>
      </w:r>
      <w:r w:rsidR="0097059B" w:rsidRPr="00866D11">
        <w:rPr>
          <w:rFonts w:ascii="Arial Narrow" w:hAnsi="Arial Narrow"/>
        </w:rPr>
        <w:t>SMHTF</w:t>
      </w:r>
      <w:r w:rsidR="004251CE" w:rsidRPr="00866D11">
        <w:rPr>
          <w:rFonts w:ascii="Arial Narrow" w:hAnsi="Arial Narrow"/>
        </w:rPr>
        <w:t xml:space="preserve">; </w:t>
      </w:r>
      <w:r w:rsidR="00E005D6">
        <w:rPr>
          <w:rFonts w:ascii="Arial Narrow" w:hAnsi="Arial Narrow"/>
        </w:rPr>
        <w:t>and</w:t>
      </w:r>
    </w:p>
    <w:p w14:paraId="6387A076" w14:textId="77777777" w:rsidR="00034572" w:rsidRDefault="00DF0757" w:rsidP="004251CE">
      <w:pPr>
        <w:numPr>
          <w:ilvl w:val="1"/>
          <w:numId w:val="10"/>
        </w:numPr>
        <w:spacing w:before="120" w:after="120" w:line="240" w:lineRule="auto"/>
        <w:ind w:left="1080" w:firstLine="0"/>
        <w:rPr>
          <w:rFonts w:ascii="Arial Narrow" w:hAnsi="Arial Narrow"/>
        </w:rPr>
      </w:pPr>
      <w:r w:rsidRPr="00866D11">
        <w:rPr>
          <w:rFonts w:ascii="Arial Narrow" w:hAnsi="Arial Narrow"/>
        </w:rPr>
        <w:t xml:space="preserve">Maintain progress notes in the client record reflecting all meetings and communications with </w:t>
      </w:r>
      <w:r w:rsidR="0097059B" w:rsidRPr="00866D11">
        <w:rPr>
          <w:rFonts w:ascii="Arial Narrow" w:hAnsi="Arial Narrow"/>
        </w:rPr>
        <w:t>SMHTF</w:t>
      </w:r>
      <w:r w:rsidRPr="00866D11">
        <w:rPr>
          <w:rFonts w:ascii="Arial Narrow" w:hAnsi="Arial Narrow"/>
        </w:rPr>
        <w:t xml:space="preserve"> staff, the client, the family or significant others</w:t>
      </w:r>
      <w:r w:rsidR="00B40E34" w:rsidRPr="00866D11">
        <w:rPr>
          <w:rFonts w:ascii="Arial Narrow" w:hAnsi="Arial Narrow"/>
        </w:rPr>
        <w:t>.</w:t>
      </w:r>
    </w:p>
    <w:p w14:paraId="6523B78A" w14:textId="77777777" w:rsidR="003E10A0" w:rsidRDefault="00FA72DE" w:rsidP="00E005D6">
      <w:pPr>
        <w:keepNext/>
        <w:spacing w:before="120" w:after="120" w:line="240" w:lineRule="auto"/>
        <w:rPr>
          <w:rFonts w:ascii="Arial Narrow" w:hAnsi="Arial Narrow"/>
          <w:b/>
        </w:rPr>
      </w:pPr>
      <w:r w:rsidRPr="00EE6B5E">
        <w:rPr>
          <w:rFonts w:ascii="Arial Narrow" w:hAnsi="Arial Narrow"/>
          <w:b/>
        </w:rPr>
        <w:t xml:space="preserve">PRIORITY INDIVIDUALS </w:t>
      </w:r>
    </w:p>
    <w:p w14:paraId="26451FD2" w14:textId="77777777" w:rsidR="003E10A0" w:rsidRDefault="00CB5673" w:rsidP="00E005D6">
      <w:pPr>
        <w:pStyle w:val="ListParagraph"/>
        <w:keepNext/>
        <w:numPr>
          <w:ilvl w:val="0"/>
          <w:numId w:val="23"/>
        </w:numPr>
        <w:spacing w:before="120" w:after="120" w:line="240" w:lineRule="auto"/>
        <w:rPr>
          <w:rFonts w:ascii="Arial Narrow" w:hAnsi="Arial Narrow"/>
          <w:b/>
        </w:rPr>
      </w:pPr>
      <w:r w:rsidRPr="00EE6B5E">
        <w:rPr>
          <w:rFonts w:ascii="Arial Narrow" w:hAnsi="Arial Narrow"/>
          <w:b/>
        </w:rPr>
        <w:t>Case Management Services</w:t>
      </w:r>
      <w:r w:rsidR="00FA72DE">
        <w:rPr>
          <w:rFonts w:ascii="Arial Narrow" w:hAnsi="Arial Narrow"/>
          <w:b/>
        </w:rPr>
        <w:t xml:space="preserve"> </w:t>
      </w:r>
    </w:p>
    <w:p w14:paraId="44E28A57" w14:textId="77777777" w:rsidR="00FA72DE" w:rsidRDefault="00902A0C" w:rsidP="00EE6B5E">
      <w:pPr>
        <w:pStyle w:val="ListParagraph"/>
        <w:spacing w:before="120" w:after="120" w:line="240" w:lineRule="auto"/>
        <w:rPr>
          <w:rFonts w:ascii="Arial Narrow" w:hAnsi="Arial Narrow"/>
        </w:rPr>
      </w:pPr>
      <w:r w:rsidRPr="00EE6B5E">
        <w:rPr>
          <w:rFonts w:ascii="Arial Narrow" w:hAnsi="Arial Narrow"/>
        </w:rPr>
        <w:t xml:space="preserve">The Managing Entity shall ensure </w:t>
      </w:r>
      <w:r w:rsidR="004F2D24" w:rsidRPr="00EE6B5E">
        <w:rPr>
          <w:rFonts w:ascii="Arial Narrow" w:hAnsi="Arial Narrow"/>
        </w:rPr>
        <w:t xml:space="preserve">that </w:t>
      </w:r>
      <w:r w:rsidR="00E005D6">
        <w:rPr>
          <w:rFonts w:ascii="Arial Narrow" w:hAnsi="Arial Narrow"/>
        </w:rPr>
        <w:t xml:space="preserve">the following </w:t>
      </w:r>
      <w:r w:rsidR="004F2D24" w:rsidRPr="00EE6B5E">
        <w:rPr>
          <w:rFonts w:ascii="Arial Narrow" w:hAnsi="Arial Narrow"/>
        </w:rPr>
        <w:t>Priority</w:t>
      </w:r>
      <w:r w:rsidR="00CB5673" w:rsidRPr="00EE6B5E">
        <w:rPr>
          <w:rFonts w:ascii="Arial Narrow" w:hAnsi="Arial Narrow"/>
        </w:rPr>
        <w:t xml:space="preserve"> individuals </w:t>
      </w:r>
      <w:r w:rsidR="00E005D6">
        <w:rPr>
          <w:rFonts w:ascii="Arial Narrow" w:hAnsi="Arial Narrow"/>
        </w:rPr>
        <w:t>a</w:t>
      </w:r>
      <w:r w:rsidR="00CB5673" w:rsidRPr="00EE6B5E">
        <w:rPr>
          <w:rFonts w:ascii="Arial Narrow" w:hAnsi="Arial Narrow"/>
        </w:rPr>
        <w:t xml:space="preserve">re eligible to receive, and are offered Case Management Services as described in </w:t>
      </w:r>
      <w:r w:rsidR="00D17336" w:rsidRPr="00072CBC">
        <w:rPr>
          <w:rFonts w:ascii="Arial Narrow" w:hAnsi="Arial Narrow"/>
          <w:i/>
        </w:rPr>
        <w:t xml:space="preserve">Rule </w:t>
      </w:r>
      <w:r w:rsidR="00CB5673" w:rsidRPr="00072CBC">
        <w:rPr>
          <w:rFonts w:ascii="Arial Narrow" w:hAnsi="Arial Narrow"/>
          <w:i/>
        </w:rPr>
        <w:t>65E-4.014, F.A.C</w:t>
      </w:r>
      <w:r w:rsidR="00FA72DE" w:rsidRPr="00072CBC">
        <w:rPr>
          <w:rFonts w:ascii="Arial Narrow" w:hAnsi="Arial Narrow"/>
          <w:i/>
        </w:rPr>
        <w:t>:</w:t>
      </w:r>
    </w:p>
    <w:p w14:paraId="41E1F749" w14:textId="77777777" w:rsidR="003E10A0" w:rsidRDefault="002F28B0" w:rsidP="00E005D6">
      <w:pPr>
        <w:numPr>
          <w:ilvl w:val="0"/>
          <w:numId w:val="25"/>
        </w:numPr>
        <w:spacing w:before="120" w:after="120" w:line="240" w:lineRule="auto"/>
        <w:rPr>
          <w:rFonts w:ascii="Arial Narrow" w:hAnsi="Arial Narrow"/>
        </w:rPr>
      </w:pPr>
      <w:r w:rsidRPr="00E005D6">
        <w:rPr>
          <w:rFonts w:ascii="Arial Narrow" w:hAnsi="Arial Narrow"/>
        </w:rPr>
        <w:lastRenderedPageBreak/>
        <w:t>Persons who are being admitted to a SMHTF or are awaiting admission to a SMHTF;</w:t>
      </w:r>
    </w:p>
    <w:p w14:paraId="14D87088" w14:textId="77777777" w:rsidR="003E10A0" w:rsidRPr="00E005D6" w:rsidRDefault="002F28B0" w:rsidP="00E005D6">
      <w:pPr>
        <w:numPr>
          <w:ilvl w:val="0"/>
          <w:numId w:val="25"/>
        </w:numPr>
        <w:spacing w:before="120" w:after="120" w:line="240" w:lineRule="auto"/>
        <w:rPr>
          <w:rFonts w:ascii="Arial Narrow" w:hAnsi="Arial Narrow"/>
        </w:rPr>
      </w:pPr>
      <w:r w:rsidRPr="00E005D6">
        <w:rPr>
          <w:rFonts w:ascii="Arial Narrow" w:hAnsi="Arial Narrow"/>
        </w:rPr>
        <w:t xml:space="preserve"> Persons who are in a SMHTF regardless of admission date;</w:t>
      </w:r>
    </w:p>
    <w:p w14:paraId="4E61D00C" w14:textId="77777777" w:rsidR="003E10A0" w:rsidRPr="00E005D6" w:rsidRDefault="002F28B0" w:rsidP="00E005D6">
      <w:pPr>
        <w:numPr>
          <w:ilvl w:val="0"/>
          <w:numId w:val="25"/>
        </w:numPr>
        <w:spacing w:before="120" w:after="120" w:line="240" w:lineRule="auto"/>
        <w:rPr>
          <w:rFonts w:ascii="Arial Narrow" w:hAnsi="Arial Narrow"/>
        </w:rPr>
      </w:pPr>
      <w:r w:rsidRPr="00E005D6">
        <w:rPr>
          <w:rFonts w:ascii="Arial Narrow" w:hAnsi="Arial Narrow"/>
        </w:rPr>
        <w:t>Persons who have moved into a Region from another Region where they had been receiving case management;</w:t>
      </w:r>
    </w:p>
    <w:p w14:paraId="19773082" w14:textId="77777777" w:rsidR="003E10A0" w:rsidRPr="00E005D6" w:rsidRDefault="002F28B0" w:rsidP="00E005D6">
      <w:pPr>
        <w:numPr>
          <w:ilvl w:val="0"/>
          <w:numId w:val="25"/>
        </w:numPr>
        <w:spacing w:before="120" w:after="120" w:line="240" w:lineRule="auto"/>
        <w:rPr>
          <w:rFonts w:ascii="Arial Narrow" w:hAnsi="Arial Narrow"/>
        </w:rPr>
      </w:pPr>
      <w:r w:rsidRPr="00E005D6">
        <w:rPr>
          <w:rFonts w:ascii="Arial Narrow" w:hAnsi="Arial Narrow"/>
        </w:rPr>
        <w:t>Persons who are at risk of institutionalization or incarceration for mental health reasons;</w:t>
      </w:r>
    </w:p>
    <w:p w14:paraId="0C8C9E08" w14:textId="77777777" w:rsidR="003E10A0" w:rsidRPr="00E005D6" w:rsidRDefault="002F28B0" w:rsidP="00E005D6">
      <w:pPr>
        <w:numPr>
          <w:ilvl w:val="0"/>
          <w:numId w:val="25"/>
        </w:numPr>
        <w:spacing w:before="120" w:after="120" w:line="240" w:lineRule="auto"/>
        <w:rPr>
          <w:rFonts w:ascii="Arial Narrow" w:hAnsi="Arial Narrow"/>
        </w:rPr>
      </w:pPr>
      <w:r w:rsidRPr="00E005D6">
        <w:rPr>
          <w:rFonts w:ascii="Arial Narrow" w:hAnsi="Arial Narrow"/>
        </w:rPr>
        <w:t>Persons who have been discharged from a SMHTF;</w:t>
      </w:r>
    </w:p>
    <w:p w14:paraId="0997523B" w14:textId="77777777" w:rsidR="003E10A0" w:rsidRPr="00E005D6" w:rsidRDefault="002F28B0" w:rsidP="00E005D6">
      <w:pPr>
        <w:numPr>
          <w:ilvl w:val="0"/>
          <w:numId w:val="25"/>
        </w:numPr>
        <w:spacing w:before="120" w:after="120" w:line="240" w:lineRule="auto"/>
        <w:rPr>
          <w:rFonts w:ascii="Arial Narrow" w:hAnsi="Arial Narrow"/>
        </w:rPr>
      </w:pPr>
      <w:r w:rsidRPr="00E005D6">
        <w:rPr>
          <w:rFonts w:ascii="Arial Narrow" w:hAnsi="Arial Narrow"/>
        </w:rPr>
        <w:t>Persons who have had one or more admissions to a crisis stabilization unit (CSU), short-term residential facility (SRT), or inpatient psychiatric unit;</w:t>
      </w:r>
    </w:p>
    <w:p w14:paraId="0D3A5330" w14:textId="77777777" w:rsidR="003E10A0" w:rsidRPr="00E005D6" w:rsidRDefault="002F28B0" w:rsidP="00E005D6">
      <w:pPr>
        <w:numPr>
          <w:ilvl w:val="0"/>
          <w:numId w:val="25"/>
        </w:numPr>
        <w:spacing w:before="120" w:after="120" w:line="240" w:lineRule="auto"/>
        <w:rPr>
          <w:rFonts w:ascii="Arial Narrow" w:hAnsi="Arial Narrow"/>
        </w:rPr>
      </w:pPr>
      <w:r w:rsidRPr="00E005D6">
        <w:rPr>
          <w:rFonts w:ascii="Arial Narrow" w:hAnsi="Arial Narrow"/>
        </w:rPr>
        <w:t>Persons who reside or have been discharged from a mental health residential treatment facility (RTF);</w:t>
      </w:r>
    </w:p>
    <w:p w14:paraId="1196234B" w14:textId="77777777" w:rsidR="003E10A0" w:rsidRPr="00E005D6" w:rsidRDefault="002F28B0" w:rsidP="00E005D6">
      <w:pPr>
        <w:numPr>
          <w:ilvl w:val="0"/>
          <w:numId w:val="25"/>
        </w:numPr>
        <w:spacing w:before="120" w:after="120" w:line="240" w:lineRule="auto"/>
        <w:rPr>
          <w:rFonts w:ascii="Arial Narrow" w:hAnsi="Arial Narrow"/>
        </w:rPr>
      </w:pPr>
      <w:r w:rsidRPr="00E005D6">
        <w:rPr>
          <w:rFonts w:ascii="Arial Narrow" w:hAnsi="Arial Narrow"/>
        </w:rPr>
        <w:t>Persons who are experiencing long-term or serious acute episodes of mental impairment that may put them at risk of requiring more intensive services.</w:t>
      </w:r>
    </w:p>
    <w:p w14:paraId="47D4B954" w14:textId="77777777" w:rsidR="00CB5673" w:rsidRPr="00EE6B5E" w:rsidRDefault="00CB5673" w:rsidP="00EE6B5E">
      <w:pPr>
        <w:pStyle w:val="ListParagraph"/>
        <w:numPr>
          <w:ilvl w:val="0"/>
          <w:numId w:val="23"/>
        </w:numPr>
        <w:spacing w:before="120" w:after="120" w:line="240" w:lineRule="auto"/>
        <w:rPr>
          <w:rFonts w:ascii="Arial Narrow" w:hAnsi="Arial Narrow"/>
          <w:b/>
        </w:rPr>
      </w:pPr>
      <w:r w:rsidRPr="00EE6B5E">
        <w:rPr>
          <w:rFonts w:ascii="Arial Narrow" w:hAnsi="Arial Narrow"/>
          <w:b/>
        </w:rPr>
        <w:t xml:space="preserve">Intensive Case Management Services </w:t>
      </w:r>
    </w:p>
    <w:p w14:paraId="46D6B77D" w14:textId="77777777" w:rsidR="00902A0C" w:rsidRPr="00FA72DE" w:rsidRDefault="00CB5673" w:rsidP="00EE6B5E">
      <w:pPr>
        <w:spacing w:before="120" w:after="120" w:line="240" w:lineRule="auto"/>
        <w:ind w:left="360"/>
        <w:rPr>
          <w:rFonts w:ascii="Arial Narrow" w:hAnsi="Arial Narrow"/>
        </w:rPr>
      </w:pPr>
      <w:r w:rsidRPr="00FA72DE">
        <w:rPr>
          <w:rFonts w:ascii="Arial Narrow" w:hAnsi="Arial Narrow"/>
        </w:rPr>
        <w:t xml:space="preserve">The Managing Entity shall ensure that </w:t>
      </w:r>
      <w:r w:rsidR="00E005D6">
        <w:rPr>
          <w:rFonts w:ascii="Arial Narrow" w:hAnsi="Arial Narrow"/>
        </w:rPr>
        <w:t xml:space="preserve">the following </w:t>
      </w:r>
      <w:r w:rsidR="00ED48E1" w:rsidRPr="00FA72DE">
        <w:rPr>
          <w:rFonts w:ascii="Arial Narrow" w:hAnsi="Arial Narrow"/>
        </w:rPr>
        <w:t xml:space="preserve">Priority individuals are eligible to receive, and are offered Intensive Case Management Services, within existing resources, </w:t>
      </w:r>
      <w:r w:rsidRPr="00FA72DE">
        <w:rPr>
          <w:rFonts w:ascii="Arial Narrow" w:hAnsi="Arial Narrow"/>
        </w:rPr>
        <w:t xml:space="preserve">as described in </w:t>
      </w:r>
      <w:r w:rsidR="002C141C" w:rsidRPr="00072CBC">
        <w:rPr>
          <w:rFonts w:ascii="Arial Narrow" w:hAnsi="Arial Narrow"/>
          <w:i/>
        </w:rPr>
        <w:t xml:space="preserve">Rule </w:t>
      </w:r>
      <w:r w:rsidRPr="00072CBC">
        <w:rPr>
          <w:rFonts w:ascii="Arial Narrow" w:hAnsi="Arial Narrow"/>
          <w:i/>
        </w:rPr>
        <w:t>65E-4.014, F.A.C</w:t>
      </w:r>
      <w:r w:rsidR="00E005D6" w:rsidRPr="00072CBC">
        <w:rPr>
          <w:rFonts w:ascii="Arial Narrow" w:hAnsi="Arial Narrow"/>
          <w:i/>
        </w:rPr>
        <w:t>.</w:t>
      </w:r>
      <w:r w:rsidRPr="00FA72DE">
        <w:rPr>
          <w:rFonts w:ascii="Arial Narrow" w:hAnsi="Arial Narrow"/>
        </w:rPr>
        <w:t xml:space="preserve"> </w:t>
      </w:r>
    </w:p>
    <w:p w14:paraId="364A066F" w14:textId="77777777" w:rsidR="003E10A0" w:rsidRPr="00E005D6" w:rsidRDefault="00E005D6" w:rsidP="00E005D6">
      <w:pPr>
        <w:numPr>
          <w:ilvl w:val="0"/>
          <w:numId w:val="26"/>
        </w:num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Persons who h</w:t>
      </w:r>
      <w:r w:rsidR="002F28B0" w:rsidRPr="00E005D6">
        <w:rPr>
          <w:rFonts w:ascii="Arial Narrow" w:hAnsi="Arial Narrow"/>
        </w:rPr>
        <w:t>ave resided in a SMHTF for at least 6 months in the last 36 months;</w:t>
      </w:r>
    </w:p>
    <w:p w14:paraId="50E5A9DD" w14:textId="77777777" w:rsidR="003E10A0" w:rsidRPr="00E005D6" w:rsidRDefault="00E005D6" w:rsidP="00E005D6">
      <w:pPr>
        <w:numPr>
          <w:ilvl w:val="0"/>
          <w:numId w:val="26"/>
        </w:num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Persons who r</w:t>
      </w:r>
      <w:r w:rsidR="002F28B0" w:rsidRPr="00E005D6">
        <w:rPr>
          <w:rFonts w:ascii="Arial Narrow" w:hAnsi="Arial Narrow"/>
        </w:rPr>
        <w:t>eside in the community and ha</w:t>
      </w:r>
      <w:r>
        <w:rPr>
          <w:rFonts w:ascii="Arial Narrow" w:hAnsi="Arial Narrow"/>
        </w:rPr>
        <w:t>ve</w:t>
      </w:r>
      <w:r w:rsidR="002F28B0" w:rsidRPr="00E005D6">
        <w:rPr>
          <w:rFonts w:ascii="Arial Narrow" w:hAnsi="Arial Narrow"/>
        </w:rPr>
        <w:t xml:space="preserve"> had two or more admissions to a SMHTF in the last 36 months;</w:t>
      </w:r>
    </w:p>
    <w:p w14:paraId="15B25F73" w14:textId="77777777" w:rsidR="003E10A0" w:rsidRPr="00E005D6" w:rsidRDefault="00E005D6" w:rsidP="00E005D6">
      <w:pPr>
        <w:numPr>
          <w:ilvl w:val="0"/>
          <w:numId w:val="26"/>
        </w:num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Persons who r</w:t>
      </w:r>
      <w:r w:rsidR="002F28B0" w:rsidRPr="00E005D6">
        <w:rPr>
          <w:rFonts w:ascii="Arial Narrow" w:hAnsi="Arial Narrow"/>
        </w:rPr>
        <w:t>eside in the community and ha</w:t>
      </w:r>
      <w:r>
        <w:rPr>
          <w:rFonts w:ascii="Arial Narrow" w:hAnsi="Arial Narrow"/>
        </w:rPr>
        <w:t>ve</w:t>
      </w:r>
      <w:r w:rsidR="002F28B0" w:rsidRPr="00E005D6">
        <w:rPr>
          <w:rFonts w:ascii="Arial Narrow" w:hAnsi="Arial Narrow"/>
        </w:rPr>
        <w:t xml:space="preserve"> had three or more admissions to a crisis stabilization unit (CSU), short-term residential facility (SRT) or inpatient psychiatric unit within the last 12 months;</w:t>
      </w:r>
    </w:p>
    <w:p w14:paraId="77048249" w14:textId="77777777" w:rsidR="003E10A0" w:rsidRPr="00E005D6" w:rsidRDefault="00E005D6" w:rsidP="00E005D6">
      <w:pPr>
        <w:numPr>
          <w:ilvl w:val="0"/>
          <w:numId w:val="26"/>
        </w:num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Persons who r</w:t>
      </w:r>
      <w:r w:rsidR="002F28B0" w:rsidRPr="00E005D6">
        <w:rPr>
          <w:rFonts w:ascii="Arial Narrow" w:hAnsi="Arial Narrow"/>
        </w:rPr>
        <w:t>eside in the community and, due to a mental illness, exhibits or would exhibit behavior or symptomatology which could result in long-term hospitalization if frequent interventions for an extended period of time were not provided.</w:t>
      </w:r>
    </w:p>
    <w:p w14:paraId="03071D9D" w14:textId="77777777" w:rsidR="004F2D24" w:rsidRPr="00EE6B5E" w:rsidRDefault="004F2D24" w:rsidP="00EE6B5E">
      <w:pPr>
        <w:spacing w:before="120" w:after="120" w:line="240" w:lineRule="auto"/>
        <w:ind w:firstLine="720"/>
        <w:rPr>
          <w:rFonts w:ascii="Arial Narrow" w:hAnsi="Arial Narrow"/>
          <w:noProof/>
          <w:color w:val="000000"/>
          <w:sz w:val="20"/>
          <w:szCs w:val="20"/>
        </w:rPr>
      </w:pPr>
    </w:p>
    <w:p w14:paraId="4307C383" w14:textId="77777777" w:rsidR="00B020A5" w:rsidRPr="00866D11" w:rsidRDefault="0097059B" w:rsidP="004251CE">
      <w:pPr>
        <w:keepNext/>
        <w:spacing w:before="120" w:after="120" w:line="240" w:lineRule="auto"/>
        <w:rPr>
          <w:rFonts w:ascii="Arial Narrow" w:hAnsi="Arial Narrow"/>
        </w:rPr>
      </w:pPr>
      <w:r w:rsidRPr="00866D11">
        <w:rPr>
          <w:rFonts w:ascii="Arial Narrow" w:hAnsi="Arial Narrow"/>
          <w:b/>
        </w:rPr>
        <w:t>CONTINUITY OF CARE</w:t>
      </w:r>
    </w:p>
    <w:p w14:paraId="1BE44A44" w14:textId="77777777" w:rsidR="00B32564" w:rsidRPr="00866D11" w:rsidRDefault="00F03943" w:rsidP="004251CE">
      <w:pPr>
        <w:keepNext/>
        <w:numPr>
          <w:ilvl w:val="0"/>
          <w:numId w:val="12"/>
        </w:numPr>
        <w:spacing w:before="120" w:after="120" w:line="240" w:lineRule="auto"/>
        <w:ind w:left="270" w:firstLine="0"/>
        <w:contextualSpacing/>
        <w:rPr>
          <w:rFonts w:ascii="Arial Narrow" w:hAnsi="Arial Narrow"/>
          <w:b/>
        </w:rPr>
      </w:pPr>
      <w:r w:rsidRPr="00866D11">
        <w:rPr>
          <w:rFonts w:ascii="Arial Narrow" w:hAnsi="Arial Narrow"/>
          <w:b/>
        </w:rPr>
        <w:t>Admission to a SMHTF.</w:t>
      </w:r>
    </w:p>
    <w:p w14:paraId="2001DCBC" w14:textId="77777777" w:rsidR="0097059B" w:rsidRPr="00866D11" w:rsidRDefault="002C141C" w:rsidP="004251CE">
      <w:pPr>
        <w:widowControl w:val="0"/>
        <w:spacing w:before="120" w:after="120" w:line="240" w:lineRule="auto"/>
        <w:ind w:left="720"/>
        <w:rPr>
          <w:rFonts w:ascii="Arial Narrow" w:hAnsi="Arial Narrow"/>
        </w:rPr>
      </w:pPr>
      <w:r w:rsidRPr="00072CBC">
        <w:rPr>
          <w:rFonts w:ascii="Arial Narrow" w:hAnsi="Arial Narrow"/>
          <w:i/>
        </w:rPr>
        <w:t xml:space="preserve">Rule </w:t>
      </w:r>
      <w:r w:rsidR="00B020A5" w:rsidRPr="00072CBC">
        <w:rPr>
          <w:rFonts w:ascii="Arial Narrow" w:hAnsi="Arial Narrow"/>
          <w:i/>
        </w:rPr>
        <w:t>65E-5</w:t>
      </w:r>
      <w:r w:rsidR="00F03943" w:rsidRPr="00072CBC">
        <w:rPr>
          <w:rFonts w:ascii="Arial Narrow" w:hAnsi="Arial Narrow"/>
          <w:i/>
        </w:rPr>
        <w:t>.1301, F.A.C.,</w:t>
      </w:r>
      <w:r w:rsidR="00F03943" w:rsidRPr="00866D11">
        <w:rPr>
          <w:rFonts w:ascii="Arial Narrow" w:hAnsi="Arial Narrow"/>
        </w:rPr>
        <w:t xml:space="preserve"> requires that a community mental health provider evaluate each person seeking voluntary admission to a SMHTF and each person for whom involuntary placement in a SMHTF is sought, to determine and document:</w:t>
      </w:r>
    </w:p>
    <w:p w14:paraId="027DDD76" w14:textId="77777777" w:rsidR="001D6891" w:rsidRPr="00866D11" w:rsidRDefault="00F03943" w:rsidP="004251CE">
      <w:pPr>
        <w:numPr>
          <w:ilvl w:val="0"/>
          <w:numId w:val="19"/>
        </w:numPr>
        <w:spacing w:before="120" w:after="120" w:line="240" w:lineRule="auto"/>
        <w:ind w:left="1080" w:firstLine="0"/>
        <w:rPr>
          <w:rFonts w:ascii="Arial Narrow" w:hAnsi="Arial Narrow"/>
        </w:rPr>
      </w:pPr>
      <w:r w:rsidRPr="00866D11">
        <w:rPr>
          <w:rFonts w:ascii="Arial Narrow" w:hAnsi="Arial Narrow"/>
        </w:rPr>
        <w:t>Whether the person meets the statutory criteria for admission to a state treatment facility; and</w:t>
      </w:r>
      <w:r w:rsidR="0097059B" w:rsidRPr="00866D11">
        <w:rPr>
          <w:rFonts w:ascii="Arial Narrow" w:hAnsi="Arial Narrow"/>
        </w:rPr>
        <w:t xml:space="preserve"> </w:t>
      </w:r>
    </w:p>
    <w:p w14:paraId="31A59E15" w14:textId="77777777" w:rsidR="00034572" w:rsidRPr="00866D11" w:rsidRDefault="00F03943" w:rsidP="004251CE">
      <w:pPr>
        <w:numPr>
          <w:ilvl w:val="0"/>
          <w:numId w:val="19"/>
        </w:numPr>
        <w:spacing w:before="120" w:after="120" w:line="240" w:lineRule="auto"/>
        <w:ind w:left="1080" w:firstLine="0"/>
        <w:rPr>
          <w:rFonts w:ascii="Arial Narrow" w:hAnsi="Arial Narrow"/>
        </w:rPr>
      </w:pPr>
      <w:r w:rsidRPr="00866D11">
        <w:rPr>
          <w:rFonts w:ascii="Arial Narrow" w:hAnsi="Arial Narrow"/>
        </w:rPr>
        <w:t>Whether there are appropriate more integrated and less restrictive mental health treatment resources available to meet the person’s needs.</w:t>
      </w:r>
    </w:p>
    <w:p w14:paraId="39AE5789" w14:textId="77777777" w:rsidR="00034572" w:rsidRPr="00866D11" w:rsidRDefault="00F03943" w:rsidP="00E005D6">
      <w:pPr>
        <w:keepNext/>
        <w:keepLines/>
        <w:numPr>
          <w:ilvl w:val="0"/>
          <w:numId w:val="12"/>
        </w:numPr>
        <w:spacing w:before="120" w:after="120" w:line="240" w:lineRule="auto"/>
        <w:ind w:left="720" w:hanging="450"/>
        <w:rPr>
          <w:rFonts w:ascii="Arial Narrow" w:hAnsi="Arial Narrow"/>
          <w:b/>
        </w:rPr>
      </w:pPr>
      <w:r w:rsidRPr="00866D11">
        <w:rPr>
          <w:rFonts w:ascii="Arial Narrow" w:hAnsi="Arial Narrow"/>
          <w:b/>
        </w:rPr>
        <w:lastRenderedPageBreak/>
        <w:t xml:space="preserve">Discharge from SMHTF  </w:t>
      </w:r>
    </w:p>
    <w:p w14:paraId="0B7C6E54" w14:textId="541DDC0E" w:rsidR="006470F7" w:rsidRDefault="006470F7" w:rsidP="00E005D6">
      <w:pPr>
        <w:keepNext/>
        <w:keepLines/>
        <w:spacing w:before="120" w:after="120" w:line="240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Pr="006470F7">
        <w:rPr>
          <w:rFonts w:ascii="Arial Narrow" w:hAnsi="Arial Narrow"/>
        </w:rPr>
        <w:t>hen a resident is placed on the Pre-Discharge Ready list</w:t>
      </w:r>
      <w:r>
        <w:rPr>
          <w:rFonts w:ascii="Arial Narrow" w:hAnsi="Arial Narrow"/>
        </w:rPr>
        <w:t>, t</w:t>
      </w:r>
      <w:r w:rsidRPr="006470F7">
        <w:rPr>
          <w:rFonts w:ascii="Arial Narrow" w:hAnsi="Arial Narrow"/>
        </w:rPr>
        <w:t xml:space="preserve">he Managing Entity shall work with the </w:t>
      </w:r>
      <w:r>
        <w:rPr>
          <w:rFonts w:ascii="Arial Narrow" w:hAnsi="Arial Narrow"/>
        </w:rPr>
        <w:t>SMHTF</w:t>
      </w:r>
      <w:r w:rsidRPr="006470F7">
        <w:rPr>
          <w:rFonts w:ascii="Arial Narrow" w:hAnsi="Arial Narrow"/>
        </w:rPr>
        <w:t xml:space="preserve"> staff to develop a transition plan</w:t>
      </w:r>
      <w:r>
        <w:rPr>
          <w:rFonts w:ascii="Arial Narrow" w:hAnsi="Arial Narrow"/>
        </w:rPr>
        <w:t>. The Managing Entity shall ensure a</w:t>
      </w:r>
      <w:r w:rsidR="00B020A5" w:rsidRPr="00866D11">
        <w:rPr>
          <w:rFonts w:ascii="Arial Narrow" w:hAnsi="Arial Narrow"/>
        </w:rPr>
        <w:t xml:space="preserve"> community case manager</w:t>
      </w:r>
      <w:r w:rsidR="004251CE" w:rsidRPr="00866D11">
        <w:rPr>
          <w:rFonts w:ascii="Arial Narrow" w:hAnsi="Arial Narrow"/>
        </w:rPr>
        <w:t xml:space="preserve"> or other assigned community behavioral health staff member</w:t>
      </w:r>
      <w:r w:rsidR="008811D8" w:rsidRPr="00866D11">
        <w:rPr>
          <w:rFonts w:ascii="Arial Narrow" w:hAnsi="Arial Narrow"/>
        </w:rPr>
        <w:t xml:space="preserve"> </w:t>
      </w:r>
      <w:r w:rsidR="00B020A5" w:rsidRPr="00866D11">
        <w:rPr>
          <w:rFonts w:ascii="Arial Narrow" w:hAnsi="Arial Narrow"/>
        </w:rPr>
        <w:t>participate</w:t>
      </w:r>
      <w:r>
        <w:rPr>
          <w:rFonts w:ascii="Arial Narrow" w:hAnsi="Arial Narrow"/>
        </w:rPr>
        <w:t>s</w:t>
      </w:r>
      <w:r w:rsidR="00B020A5" w:rsidRPr="00866D11">
        <w:rPr>
          <w:rFonts w:ascii="Arial Narrow" w:hAnsi="Arial Narrow"/>
        </w:rPr>
        <w:t xml:space="preserve"> in the development of the </w:t>
      </w:r>
      <w:r w:rsidR="000A2A63">
        <w:rPr>
          <w:rFonts w:ascii="Arial Narrow" w:hAnsi="Arial Narrow"/>
        </w:rPr>
        <w:t xml:space="preserve">transition </w:t>
      </w:r>
      <w:r w:rsidR="00B020A5" w:rsidRPr="00866D11">
        <w:rPr>
          <w:rFonts w:ascii="Arial Narrow" w:hAnsi="Arial Narrow"/>
        </w:rPr>
        <w:t>plan identif</w:t>
      </w:r>
      <w:r>
        <w:rPr>
          <w:rFonts w:ascii="Arial Narrow" w:hAnsi="Arial Narrow"/>
        </w:rPr>
        <w:t xml:space="preserve">ying </w:t>
      </w:r>
      <w:r w:rsidR="00B020A5" w:rsidRPr="00866D11">
        <w:rPr>
          <w:rFonts w:ascii="Arial Narrow" w:hAnsi="Arial Narrow"/>
        </w:rPr>
        <w:t xml:space="preserve">services and supports needed for the resident’s discharge.  </w:t>
      </w:r>
    </w:p>
    <w:p w14:paraId="7060ED52" w14:textId="796CC701" w:rsidR="005414FD" w:rsidRPr="00866D11" w:rsidRDefault="006470F7" w:rsidP="00E005D6">
      <w:pPr>
        <w:keepNext/>
        <w:keepLines/>
        <w:spacing w:before="120" w:after="120" w:line="240" w:lineRule="auto"/>
        <w:ind w:left="720"/>
        <w:rPr>
          <w:rFonts w:ascii="Arial Narrow" w:hAnsi="Arial Narrow"/>
        </w:rPr>
      </w:pPr>
      <w:r w:rsidRPr="006470F7">
        <w:rPr>
          <w:rFonts w:ascii="Arial Narrow" w:hAnsi="Arial Narrow"/>
        </w:rPr>
        <w:t xml:space="preserve">Each SMHTF </w:t>
      </w:r>
      <w:r>
        <w:rPr>
          <w:rFonts w:ascii="Arial Narrow" w:hAnsi="Arial Narrow"/>
        </w:rPr>
        <w:t xml:space="preserve">also </w:t>
      </w:r>
      <w:r w:rsidRPr="006470F7">
        <w:rPr>
          <w:rFonts w:ascii="Arial Narrow" w:hAnsi="Arial Narrow"/>
        </w:rPr>
        <w:t xml:space="preserve">maintains a Seeking Placement List (SPL) of all civil residents who are actively seeking placement in the community. </w:t>
      </w:r>
      <w:r w:rsidR="00B020A5" w:rsidRPr="00866D11">
        <w:rPr>
          <w:rFonts w:ascii="Arial Narrow" w:hAnsi="Arial Narrow"/>
        </w:rPr>
        <w:t xml:space="preserve">The </w:t>
      </w:r>
      <w:r w:rsidR="005414FD" w:rsidRPr="00866D11">
        <w:rPr>
          <w:rFonts w:ascii="Arial Narrow" w:hAnsi="Arial Narrow"/>
        </w:rPr>
        <w:t xml:space="preserve">Managing Entity shall ensure that </w:t>
      </w:r>
      <w:r w:rsidR="00382FFC">
        <w:rPr>
          <w:rFonts w:ascii="Arial Narrow" w:hAnsi="Arial Narrow"/>
        </w:rPr>
        <w:t>sub</w:t>
      </w:r>
      <w:r w:rsidR="005414FD" w:rsidRPr="00866D11">
        <w:rPr>
          <w:rFonts w:ascii="Arial Narrow" w:hAnsi="Arial Narrow"/>
        </w:rPr>
        <w:t>contracted Network Service Providers provid</w:t>
      </w:r>
      <w:r>
        <w:rPr>
          <w:rFonts w:ascii="Arial Narrow" w:hAnsi="Arial Narrow"/>
        </w:rPr>
        <w:t>ing</w:t>
      </w:r>
      <w:r w:rsidR="005414FD" w:rsidRPr="00866D11">
        <w:rPr>
          <w:rFonts w:ascii="Arial Narrow" w:hAnsi="Arial Narrow"/>
        </w:rPr>
        <w:t xml:space="preserve"> </w:t>
      </w:r>
      <w:r w:rsidR="00B020A5" w:rsidRPr="00866D11">
        <w:rPr>
          <w:rFonts w:ascii="Arial Narrow" w:hAnsi="Arial Narrow"/>
        </w:rPr>
        <w:t>community case manage</w:t>
      </w:r>
      <w:r w:rsidR="005414FD" w:rsidRPr="00866D11">
        <w:rPr>
          <w:rFonts w:ascii="Arial Narrow" w:hAnsi="Arial Narrow"/>
        </w:rPr>
        <w:t>ment services:</w:t>
      </w:r>
    </w:p>
    <w:p w14:paraId="0D4B32BF" w14:textId="1352B457" w:rsidR="006470F7" w:rsidRDefault="006470F7" w:rsidP="004251CE">
      <w:pPr>
        <w:numPr>
          <w:ilvl w:val="0"/>
          <w:numId w:val="21"/>
        </w:numPr>
        <w:spacing w:before="120" w:after="120" w:line="240" w:lineRule="auto"/>
        <w:ind w:left="1080" w:firstLine="0"/>
        <w:rPr>
          <w:rFonts w:ascii="Arial Narrow" w:hAnsi="Arial Narrow"/>
        </w:rPr>
      </w:pPr>
      <w:r>
        <w:rPr>
          <w:rFonts w:ascii="Arial Narrow" w:hAnsi="Arial Narrow"/>
        </w:rPr>
        <w:t>Comply with the standards established in CFOP 155-17,</w:t>
      </w:r>
    </w:p>
    <w:p w14:paraId="517D58BA" w14:textId="77777777" w:rsidR="00034572" w:rsidRPr="00866D11" w:rsidRDefault="005414FD" w:rsidP="004251CE">
      <w:pPr>
        <w:numPr>
          <w:ilvl w:val="0"/>
          <w:numId w:val="21"/>
        </w:numPr>
        <w:spacing w:before="120" w:after="120" w:line="240" w:lineRule="auto"/>
        <w:ind w:left="1080" w:firstLine="0"/>
        <w:rPr>
          <w:rFonts w:ascii="Arial Narrow" w:hAnsi="Arial Narrow"/>
        </w:rPr>
      </w:pPr>
      <w:r w:rsidRPr="00866D11">
        <w:rPr>
          <w:rFonts w:ascii="Arial Narrow" w:hAnsi="Arial Narrow"/>
        </w:rPr>
        <w:t>S</w:t>
      </w:r>
      <w:r w:rsidR="00B020A5" w:rsidRPr="00866D11">
        <w:rPr>
          <w:rFonts w:ascii="Arial Narrow" w:hAnsi="Arial Narrow"/>
        </w:rPr>
        <w:t xml:space="preserve">ecure community placement and services in cooperation with </w:t>
      </w:r>
      <w:r w:rsidRPr="00866D11">
        <w:rPr>
          <w:rFonts w:ascii="Arial Narrow" w:hAnsi="Arial Narrow"/>
        </w:rPr>
        <w:t>SMHTF</w:t>
      </w:r>
      <w:r w:rsidR="00B020A5" w:rsidRPr="00866D11">
        <w:rPr>
          <w:rFonts w:ascii="Arial Narrow" w:hAnsi="Arial Narrow"/>
        </w:rPr>
        <w:t xml:space="preserve"> social worker</w:t>
      </w:r>
      <w:r w:rsidR="00AF4ED1" w:rsidRPr="00866D11">
        <w:rPr>
          <w:rFonts w:ascii="Arial Narrow" w:hAnsi="Arial Narrow"/>
        </w:rPr>
        <w:t xml:space="preserve"> or </w:t>
      </w:r>
      <w:r w:rsidR="00B020A5" w:rsidRPr="00866D11">
        <w:rPr>
          <w:rFonts w:ascii="Arial Narrow" w:hAnsi="Arial Narrow"/>
        </w:rPr>
        <w:t xml:space="preserve">discharge planner, </w:t>
      </w:r>
    </w:p>
    <w:p w14:paraId="50C1ADD0" w14:textId="1731A6F3" w:rsidR="00034572" w:rsidRPr="00866D11" w:rsidRDefault="005414FD" w:rsidP="004251CE">
      <w:pPr>
        <w:numPr>
          <w:ilvl w:val="0"/>
          <w:numId w:val="21"/>
        </w:numPr>
        <w:spacing w:before="120" w:after="120" w:line="240" w:lineRule="auto"/>
        <w:ind w:left="1080" w:firstLine="0"/>
        <w:rPr>
          <w:rFonts w:ascii="Arial Narrow" w:hAnsi="Arial Narrow"/>
        </w:rPr>
      </w:pPr>
      <w:r w:rsidRPr="00866D11">
        <w:rPr>
          <w:rFonts w:ascii="Arial Narrow" w:hAnsi="Arial Narrow"/>
        </w:rPr>
        <w:t>M</w:t>
      </w:r>
      <w:r w:rsidR="00B020A5" w:rsidRPr="00866D11">
        <w:rPr>
          <w:rFonts w:ascii="Arial Narrow" w:hAnsi="Arial Narrow"/>
        </w:rPr>
        <w:t xml:space="preserve">aintain contact with the </w:t>
      </w:r>
      <w:r w:rsidR="006470F7">
        <w:rPr>
          <w:rFonts w:ascii="Arial Narrow" w:hAnsi="Arial Narrow"/>
        </w:rPr>
        <w:t>SMHTF</w:t>
      </w:r>
      <w:r w:rsidR="006470F7" w:rsidRPr="00866D11">
        <w:rPr>
          <w:rFonts w:ascii="Arial Narrow" w:hAnsi="Arial Narrow"/>
        </w:rPr>
        <w:t xml:space="preserve"> </w:t>
      </w:r>
      <w:r w:rsidR="00B020A5" w:rsidRPr="00866D11">
        <w:rPr>
          <w:rFonts w:ascii="Arial Narrow" w:hAnsi="Arial Narrow"/>
        </w:rPr>
        <w:t xml:space="preserve">case manager and </w:t>
      </w:r>
      <w:r w:rsidR="006470F7">
        <w:rPr>
          <w:rFonts w:ascii="Arial Narrow" w:hAnsi="Arial Narrow"/>
        </w:rPr>
        <w:t>s</w:t>
      </w:r>
      <w:r w:rsidR="00B020A5" w:rsidRPr="00866D11">
        <w:rPr>
          <w:rFonts w:ascii="Arial Narrow" w:hAnsi="Arial Narrow"/>
        </w:rPr>
        <w:t xml:space="preserve">ocial </w:t>
      </w:r>
      <w:r w:rsidR="006470F7">
        <w:rPr>
          <w:rFonts w:ascii="Arial Narrow" w:hAnsi="Arial Narrow"/>
        </w:rPr>
        <w:t>w</w:t>
      </w:r>
      <w:r w:rsidR="00B020A5" w:rsidRPr="00866D11">
        <w:rPr>
          <w:rFonts w:ascii="Arial Narrow" w:hAnsi="Arial Narrow"/>
        </w:rPr>
        <w:t xml:space="preserve">orker, and </w:t>
      </w:r>
    </w:p>
    <w:p w14:paraId="3135E106" w14:textId="77777777" w:rsidR="00034572" w:rsidRPr="00866D11" w:rsidRDefault="005414FD" w:rsidP="004251CE">
      <w:pPr>
        <w:numPr>
          <w:ilvl w:val="0"/>
          <w:numId w:val="21"/>
        </w:numPr>
        <w:spacing w:before="120" w:after="120" w:line="240" w:lineRule="auto"/>
        <w:ind w:left="1080" w:firstLine="0"/>
        <w:rPr>
          <w:rFonts w:ascii="Arial Narrow" w:hAnsi="Arial Narrow"/>
        </w:rPr>
      </w:pPr>
      <w:r w:rsidRPr="00866D11">
        <w:rPr>
          <w:rFonts w:ascii="Arial Narrow" w:hAnsi="Arial Narrow"/>
        </w:rPr>
        <w:t>E</w:t>
      </w:r>
      <w:r w:rsidR="00B020A5" w:rsidRPr="00866D11">
        <w:rPr>
          <w:rFonts w:ascii="Arial Narrow" w:hAnsi="Arial Narrow"/>
        </w:rPr>
        <w:t>nsure recommended services are received after the individual</w:t>
      </w:r>
      <w:r w:rsidR="004251CE" w:rsidRPr="00866D11">
        <w:rPr>
          <w:rFonts w:ascii="Arial Narrow" w:hAnsi="Arial Narrow"/>
        </w:rPr>
        <w:t>’s</w:t>
      </w:r>
      <w:r w:rsidR="00B020A5" w:rsidRPr="00866D11">
        <w:rPr>
          <w:rFonts w:ascii="Arial Narrow" w:hAnsi="Arial Narrow"/>
        </w:rPr>
        <w:t xml:space="preserve"> discharge.  </w:t>
      </w:r>
    </w:p>
    <w:p w14:paraId="43CBB0EB" w14:textId="77777777" w:rsidR="000D6064" w:rsidRPr="00866D11" w:rsidRDefault="000D6064" w:rsidP="004251CE">
      <w:pPr>
        <w:spacing w:before="120" w:after="120" w:line="240" w:lineRule="auto"/>
        <w:rPr>
          <w:rFonts w:ascii="Arial Narrow" w:hAnsi="Arial Narrow"/>
          <w:b/>
        </w:rPr>
      </w:pPr>
    </w:p>
    <w:p w14:paraId="784F02B5" w14:textId="77777777" w:rsidR="00AF4ED1" w:rsidRPr="00866D11" w:rsidRDefault="00F03943" w:rsidP="004251CE">
      <w:pPr>
        <w:spacing w:before="120" w:after="120" w:line="240" w:lineRule="auto"/>
        <w:rPr>
          <w:rFonts w:ascii="Arial Narrow" w:hAnsi="Arial Narrow"/>
          <w:b/>
        </w:rPr>
      </w:pPr>
      <w:r w:rsidRPr="00866D11">
        <w:rPr>
          <w:rFonts w:ascii="Arial Narrow" w:hAnsi="Arial Narrow"/>
          <w:b/>
        </w:rPr>
        <w:t>FORENSIC</w:t>
      </w:r>
    </w:p>
    <w:p w14:paraId="0A27C3B5" w14:textId="5988E563" w:rsidR="00AF4ED1" w:rsidRPr="00866D11" w:rsidRDefault="00AF4ED1" w:rsidP="006470F7">
      <w:pPr>
        <w:spacing w:before="120" w:after="120" w:line="240" w:lineRule="auto"/>
        <w:rPr>
          <w:rFonts w:ascii="Arial Narrow" w:hAnsi="Arial Narrow"/>
        </w:rPr>
      </w:pPr>
      <w:r w:rsidRPr="009A6BFD">
        <w:rPr>
          <w:rFonts w:ascii="Arial Narrow" w:hAnsi="Arial Narrow"/>
          <w:i/>
        </w:rPr>
        <w:t>Chapter 916, F.S.,</w:t>
      </w:r>
      <w:r w:rsidRPr="00D17336">
        <w:rPr>
          <w:rFonts w:ascii="Arial Narrow" w:hAnsi="Arial Narrow"/>
        </w:rPr>
        <w:t xml:space="preserve"> requires</w:t>
      </w:r>
      <w:r w:rsidRPr="00866D11">
        <w:rPr>
          <w:rFonts w:ascii="Arial Narrow" w:hAnsi="Arial Narrow"/>
        </w:rPr>
        <w:t xml:space="preserve"> the Department to establish and maintain separate and secure forensic facilities and programs for the treatment or training of defendants who have been charged with a felony and who have been found to be incompetent to proceed (ITP) due to their mental illness or who have been acquitted of a felony by reason of insanity (NGI). </w:t>
      </w:r>
    </w:p>
    <w:p w14:paraId="328BA43D" w14:textId="77777777" w:rsidR="00542F97" w:rsidRDefault="00F03943" w:rsidP="004251CE">
      <w:pPr>
        <w:spacing w:before="120" w:after="120" w:line="240" w:lineRule="auto"/>
        <w:rPr>
          <w:rFonts w:ascii="Arial Narrow" w:hAnsi="Arial Narrow"/>
          <w:b/>
        </w:rPr>
      </w:pPr>
      <w:r w:rsidRPr="00866D11">
        <w:rPr>
          <w:rFonts w:ascii="Arial Narrow" w:hAnsi="Arial Narrow"/>
          <w:b/>
        </w:rPr>
        <w:t>Forensic Discharge</w:t>
      </w:r>
    </w:p>
    <w:p w14:paraId="32287574" w14:textId="360C5FC7" w:rsidR="00542F97" w:rsidRPr="00866D11" w:rsidRDefault="006470F7" w:rsidP="004251CE">
      <w:pPr>
        <w:spacing w:before="120" w:after="120" w:line="240" w:lineRule="auto"/>
        <w:rPr>
          <w:rFonts w:ascii="Arial Narrow" w:hAnsi="Arial Narrow"/>
        </w:rPr>
      </w:pPr>
      <w:r w:rsidRPr="002C4308">
        <w:rPr>
          <w:rFonts w:ascii="Arial Narrow" w:hAnsi="Arial Narrow"/>
        </w:rPr>
        <w:t>The Managing Entity shall work with the Department facility staff to develop a transition plan when a resident is placed on the Pre-Discharge Ready list.</w:t>
      </w:r>
      <w:r>
        <w:rPr>
          <w:rFonts w:ascii="Arial Narrow" w:hAnsi="Arial Narrow"/>
        </w:rPr>
        <w:t xml:space="preserve"> </w:t>
      </w:r>
      <w:r w:rsidRPr="002C4308">
        <w:rPr>
          <w:rFonts w:ascii="Arial Narrow" w:hAnsi="Arial Narrow"/>
        </w:rPr>
        <w:t>Each SMHTF</w:t>
      </w:r>
      <w:r>
        <w:rPr>
          <w:rFonts w:ascii="Arial Narrow" w:hAnsi="Arial Narrow"/>
        </w:rPr>
        <w:t xml:space="preserve"> also </w:t>
      </w:r>
      <w:r w:rsidRPr="002C4308">
        <w:rPr>
          <w:rFonts w:ascii="Arial Narrow" w:hAnsi="Arial Narrow"/>
        </w:rPr>
        <w:t xml:space="preserve">maintains a Seeking Placement List (SPL) of forensic residents who are actively seeking placement in the community on conditional release or with aftercare conditions. </w:t>
      </w:r>
      <w:r w:rsidR="00542F97" w:rsidRPr="00866D11">
        <w:rPr>
          <w:rFonts w:ascii="Arial Narrow" w:hAnsi="Arial Narrow"/>
        </w:rPr>
        <w:t xml:space="preserve">The Managing Entity shall </w:t>
      </w:r>
      <w:r w:rsidR="00471482">
        <w:rPr>
          <w:rFonts w:ascii="Arial Narrow" w:hAnsi="Arial Narrow"/>
        </w:rPr>
        <w:t xml:space="preserve">include the </w:t>
      </w:r>
      <w:r w:rsidR="00542F97" w:rsidRPr="00866D11">
        <w:rPr>
          <w:rFonts w:ascii="Arial Narrow" w:hAnsi="Arial Narrow"/>
        </w:rPr>
        <w:t xml:space="preserve">following </w:t>
      </w:r>
      <w:r w:rsidR="00471482">
        <w:rPr>
          <w:rFonts w:ascii="Arial Narrow" w:hAnsi="Arial Narrow"/>
        </w:rPr>
        <w:t>requirements in sub</w:t>
      </w:r>
      <w:r w:rsidR="00542F97" w:rsidRPr="00866D11">
        <w:rPr>
          <w:rFonts w:ascii="Arial Narrow" w:hAnsi="Arial Narrow"/>
        </w:rPr>
        <w:t>contract</w:t>
      </w:r>
      <w:r w:rsidR="00471482">
        <w:rPr>
          <w:rFonts w:ascii="Arial Narrow" w:hAnsi="Arial Narrow"/>
        </w:rPr>
        <w:t>s</w:t>
      </w:r>
      <w:r w:rsidR="00542F97" w:rsidRPr="00866D11">
        <w:rPr>
          <w:rFonts w:ascii="Arial Narrow" w:hAnsi="Arial Narrow"/>
        </w:rPr>
        <w:t xml:space="preserve"> with Network Service Providers:</w:t>
      </w:r>
    </w:p>
    <w:p w14:paraId="552EACF2" w14:textId="11969FA1" w:rsidR="004251CE" w:rsidRPr="00866D11" w:rsidRDefault="00542F97" w:rsidP="004251CE">
      <w:pPr>
        <w:numPr>
          <w:ilvl w:val="0"/>
          <w:numId w:val="20"/>
        </w:numPr>
        <w:spacing w:before="120" w:after="120" w:line="240" w:lineRule="auto"/>
        <w:ind w:left="270" w:firstLine="0"/>
        <w:rPr>
          <w:rFonts w:ascii="Arial Narrow" w:hAnsi="Arial Narrow"/>
        </w:rPr>
      </w:pPr>
      <w:r w:rsidRPr="00866D11">
        <w:rPr>
          <w:rFonts w:ascii="Arial Narrow" w:hAnsi="Arial Narrow"/>
        </w:rPr>
        <w:t xml:space="preserve">That </w:t>
      </w:r>
      <w:r w:rsidRPr="009A6BFD">
        <w:rPr>
          <w:rFonts w:ascii="Arial Narrow" w:hAnsi="Arial Narrow"/>
          <w:i/>
        </w:rPr>
        <w:t>CFOP 155-18</w:t>
      </w:r>
      <w:r w:rsidRPr="00866D11">
        <w:rPr>
          <w:rFonts w:ascii="Arial Narrow" w:hAnsi="Arial Narrow"/>
        </w:rPr>
        <w:t xml:space="preserve"> is complied with</w:t>
      </w:r>
      <w:r w:rsidR="004251CE" w:rsidRPr="00866D11">
        <w:rPr>
          <w:rFonts w:ascii="Arial Narrow" w:hAnsi="Arial Narrow"/>
        </w:rPr>
        <w:t xml:space="preserve"> and all required documentation listed within </w:t>
      </w:r>
      <w:r w:rsidR="004251CE" w:rsidRPr="009A6BFD">
        <w:rPr>
          <w:rFonts w:ascii="Arial Narrow" w:hAnsi="Arial Narrow"/>
          <w:i/>
        </w:rPr>
        <w:t xml:space="preserve">CFOP 155-18 </w:t>
      </w:r>
      <w:r w:rsidR="004251CE" w:rsidRPr="00D17336">
        <w:rPr>
          <w:rFonts w:ascii="Arial Narrow" w:hAnsi="Arial Narrow"/>
        </w:rPr>
        <w:t>is</w:t>
      </w:r>
      <w:r w:rsidR="004251CE" w:rsidRPr="00866D11">
        <w:rPr>
          <w:rFonts w:ascii="Arial Narrow" w:hAnsi="Arial Narrow"/>
        </w:rPr>
        <w:t xml:space="preserve"> submitted </w:t>
      </w:r>
      <w:r w:rsidR="005E3B39" w:rsidRPr="00866D11">
        <w:rPr>
          <w:rFonts w:ascii="Arial Narrow" w:hAnsi="Arial Narrow"/>
        </w:rPr>
        <w:t>monthly</w:t>
      </w:r>
      <w:r w:rsidR="00D72F05">
        <w:rPr>
          <w:rFonts w:ascii="Arial Narrow" w:hAnsi="Arial Narrow"/>
        </w:rPr>
        <w:t xml:space="preserve">. This operating procedure </w:t>
      </w:r>
      <w:r w:rsidR="0059251E">
        <w:rPr>
          <w:rFonts w:ascii="Arial Narrow" w:hAnsi="Arial Narrow"/>
        </w:rPr>
        <w:t>includ</w:t>
      </w:r>
      <w:r w:rsidR="00D72F05">
        <w:rPr>
          <w:rFonts w:ascii="Arial Narrow" w:hAnsi="Arial Narrow"/>
        </w:rPr>
        <w:t>es mandatory requirements including, but not limited to</w:t>
      </w:r>
      <w:r w:rsidR="00471482">
        <w:rPr>
          <w:rFonts w:ascii="Arial Narrow" w:hAnsi="Arial Narrow"/>
        </w:rPr>
        <w:t>,</w:t>
      </w:r>
      <w:r w:rsidR="0059251E">
        <w:rPr>
          <w:rFonts w:ascii="Arial Narrow" w:hAnsi="Arial Narrow"/>
        </w:rPr>
        <w:t xml:space="preserve"> quarterly visit</w:t>
      </w:r>
      <w:r w:rsidR="003F6B0B">
        <w:rPr>
          <w:rFonts w:ascii="Arial Narrow" w:hAnsi="Arial Narrow"/>
        </w:rPr>
        <w:t xml:space="preserve">s to the resident while they are in the SMHTF </w:t>
      </w:r>
      <w:r w:rsidR="00471482">
        <w:rPr>
          <w:rFonts w:ascii="Arial Narrow" w:hAnsi="Arial Narrow"/>
        </w:rPr>
        <w:t xml:space="preserve">and </w:t>
      </w:r>
      <w:r w:rsidR="00D72F05">
        <w:rPr>
          <w:rFonts w:ascii="Arial Narrow" w:hAnsi="Arial Narrow"/>
        </w:rPr>
        <w:t>ongoing monitoring acc</w:t>
      </w:r>
      <w:r w:rsidR="00FA72DE">
        <w:rPr>
          <w:rFonts w:ascii="Arial Narrow" w:hAnsi="Arial Narrow"/>
        </w:rPr>
        <w:t>ording to the requirements of the court order</w:t>
      </w:r>
      <w:r w:rsidR="00D72F05">
        <w:rPr>
          <w:rFonts w:ascii="Arial Narrow" w:hAnsi="Arial Narrow"/>
        </w:rPr>
        <w:t xml:space="preserve"> for individuals on conditional release</w:t>
      </w:r>
      <w:r w:rsidR="00FA72DE">
        <w:rPr>
          <w:rFonts w:ascii="Arial Narrow" w:hAnsi="Arial Narrow"/>
        </w:rPr>
        <w:t xml:space="preserve">. </w:t>
      </w:r>
    </w:p>
    <w:p w14:paraId="7AAD9687" w14:textId="77777777" w:rsidR="00034572" w:rsidRPr="00866D11" w:rsidRDefault="00F80581" w:rsidP="004251CE">
      <w:pPr>
        <w:numPr>
          <w:ilvl w:val="0"/>
          <w:numId w:val="20"/>
        </w:numPr>
        <w:spacing w:before="120" w:after="120" w:line="240" w:lineRule="auto"/>
        <w:ind w:left="270" w:firstLine="0"/>
        <w:rPr>
          <w:rFonts w:ascii="Arial Narrow" w:hAnsi="Arial Narrow"/>
        </w:rPr>
      </w:pPr>
      <w:r w:rsidRPr="00866D11">
        <w:rPr>
          <w:rFonts w:ascii="Arial Narrow" w:hAnsi="Arial Narrow"/>
        </w:rPr>
        <w:t xml:space="preserve">That </w:t>
      </w:r>
      <w:r w:rsidR="00542F97" w:rsidRPr="00866D11">
        <w:rPr>
          <w:rFonts w:ascii="Arial Narrow" w:hAnsi="Arial Narrow"/>
        </w:rPr>
        <w:t xml:space="preserve">there are sufficient </w:t>
      </w:r>
      <w:r w:rsidR="004251CE" w:rsidRPr="00866D11">
        <w:rPr>
          <w:rFonts w:ascii="Arial Narrow" w:hAnsi="Arial Narrow"/>
        </w:rPr>
        <w:t xml:space="preserve">and specific </w:t>
      </w:r>
      <w:r w:rsidR="00542F97" w:rsidRPr="00866D11">
        <w:rPr>
          <w:rFonts w:ascii="Arial Narrow" w:hAnsi="Arial Narrow"/>
        </w:rPr>
        <w:t xml:space="preserve">Network Service Providers designated as Forensic Specialists.  </w:t>
      </w:r>
    </w:p>
    <w:p w14:paraId="7074B858" w14:textId="77777777" w:rsidR="00034572" w:rsidRPr="00866D11" w:rsidRDefault="00542F97" w:rsidP="004251CE">
      <w:pPr>
        <w:numPr>
          <w:ilvl w:val="0"/>
          <w:numId w:val="20"/>
        </w:numPr>
        <w:spacing w:before="120" w:after="120" w:line="240" w:lineRule="auto"/>
        <w:ind w:left="270" w:firstLine="0"/>
        <w:rPr>
          <w:rFonts w:ascii="Arial Narrow" w:hAnsi="Arial Narrow"/>
        </w:rPr>
      </w:pPr>
      <w:r w:rsidRPr="00866D11">
        <w:rPr>
          <w:rFonts w:ascii="Arial Narrow" w:hAnsi="Arial Narrow"/>
        </w:rPr>
        <w:t xml:space="preserve">All available information required to assist with the individual’s treatment is provided to the SMHTF. </w:t>
      </w:r>
    </w:p>
    <w:p w14:paraId="48D0F92F" w14:textId="076B8305" w:rsidR="003C4DD0" w:rsidRPr="00866D11" w:rsidRDefault="003C4DD0" w:rsidP="003C4DD0">
      <w:pPr>
        <w:numPr>
          <w:ilvl w:val="0"/>
          <w:numId w:val="20"/>
        </w:numPr>
        <w:spacing w:before="120" w:after="120" w:line="240" w:lineRule="auto"/>
        <w:ind w:left="270" w:firstLine="0"/>
        <w:rPr>
          <w:rFonts w:ascii="Arial Narrow" w:hAnsi="Arial Narrow"/>
        </w:rPr>
      </w:pPr>
      <w:r w:rsidRPr="00866D11">
        <w:rPr>
          <w:rFonts w:ascii="Arial Narrow" w:hAnsi="Arial Narrow"/>
        </w:rPr>
        <w:t>The ME or Network Service Providers work consistently with the SMHTF staff to ensure a</w:t>
      </w:r>
      <w:r w:rsidR="00866D11">
        <w:rPr>
          <w:rFonts w:ascii="Arial Narrow" w:hAnsi="Arial Narrow"/>
        </w:rPr>
        <w:t xml:space="preserve">n individual </w:t>
      </w:r>
      <w:r w:rsidRPr="00866D11">
        <w:rPr>
          <w:rFonts w:ascii="Arial Narrow" w:hAnsi="Arial Narrow"/>
        </w:rPr>
        <w:t xml:space="preserve">with forensic involvement is placed in the least restrictive environment in a timely manner. </w:t>
      </w:r>
    </w:p>
    <w:p w14:paraId="13F46B99" w14:textId="49291D6E" w:rsidR="004C1724" w:rsidRPr="00866D11" w:rsidRDefault="004C1724" w:rsidP="004C1724">
      <w:pPr>
        <w:numPr>
          <w:ilvl w:val="0"/>
          <w:numId w:val="20"/>
        </w:numPr>
        <w:spacing w:before="120" w:after="120" w:line="240" w:lineRule="auto"/>
        <w:ind w:left="270" w:firstLine="0"/>
        <w:rPr>
          <w:rFonts w:ascii="Arial Narrow" w:hAnsi="Arial Narrow"/>
        </w:rPr>
      </w:pPr>
      <w:r w:rsidRPr="00866D11">
        <w:rPr>
          <w:rFonts w:ascii="Arial Narrow" w:hAnsi="Arial Narrow"/>
        </w:rPr>
        <w:t>Network Service Provider q</w:t>
      </w:r>
      <w:r w:rsidR="00542F97" w:rsidRPr="00866D11">
        <w:rPr>
          <w:rFonts w:ascii="Arial Narrow" w:hAnsi="Arial Narrow"/>
        </w:rPr>
        <w:t>uarterly meetings with individuals at the SMHTF, or civil step-down treatment facility(s), are held.  This shall include assistance with discharge planning.</w:t>
      </w:r>
      <w:r w:rsidRPr="00866D11">
        <w:rPr>
          <w:rFonts w:ascii="Arial Narrow" w:hAnsi="Arial Narrow"/>
        </w:rPr>
        <w:t xml:space="preserve"> Representatives from the </w:t>
      </w:r>
      <w:r w:rsidR="002C4308">
        <w:rPr>
          <w:rFonts w:ascii="Arial Narrow" w:hAnsi="Arial Narrow"/>
        </w:rPr>
        <w:t xml:space="preserve">Managing Entity and </w:t>
      </w:r>
      <w:r w:rsidRPr="00866D11">
        <w:rPr>
          <w:rFonts w:ascii="Arial Narrow" w:hAnsi="Arial Narrow"/>
        </w:rPr>
        <w:t>Network Service Providers shall be actively involved in the discharge process and shall assist with finding a living environment and identify community services that will support the level of need.</w:t>
      </w:r>
    </w:p>
    <w:p w14:paraId="22D09929" w14:textId="77777777" w:rsidR="00034572" w:rsidRPr="00866D11" w:rsidRDefault="00542F97" w:rsidP="004251CE">
      <w:pPr>
        <w:numPr>
          <w:ilvl w:val="0"/>
          <w:numId w:val="20"/>
        </w:numPr>
        <w:spacing w:before="120" w:after="120" w:line="240" w:lineRule="auto"/>
        <w:ind w:left="270" w:firstLine="0"/>
        <w:rPr>
          <w:rFonts w:ascii="Arial Narrow" w:hAnsi="Arial Narrow"/>
        </w:rPr>
      </w:pPr>
      <w:r w:rsidRPr="00866D11">
        <w:rPr>
          <w:rFonts w:ascii="Arial Narrow" w:hAnsi="Arial Narrow"/>
        </w:rPr>
        <w:t>Locate appropriate community placements</w:t>
      </w:r>
      <w:r w:rsidR="004C1724" w:rsidRPr="00866D11">
        <w:rPr>
          <w:rFonts w:ascii="Arial Narrow" w:hAnsi="Arial Narrow"/>
        </w:rPr>
        <w:t xml:space="preserve"> in a timely manner</w:t>
      </w:r>
      <w:r w:rsidRPr="00866D11">
        <w:rPr>
          <w:rFonts w:ascii="Arial Narrow" w:hAnsi="Arial Narrow"/>
        </w:rPr>
        <w:t xml:space="preserve">, and arrange for needed aftercare services for individuals determined appropriate for discharge.  </w:t>
      </w:r>
    </w:p>
    <w:p w14:paraId="379085CC" w14:textId="77777777" w:rsidR="00034572" w:rsidRPr="00866D11" w:rsidRDefault="00542F97" w:rsidP="004251CE">
      <w:pPr>
        <w:numPr>
          <w:ilvl w:val="0"/>
          <w:numId w:val="20"/>
        </w:numPr>
        <w:spacing w:before="120" w:after="120" w:line="240" w:lineRule="auto"/>
        <w:ind w:left="270" w:firstLine="0"/>
        <w:rPr>
          <w:rFonts w:ascii="Arial Narrow" w:hAnsi="Arial Narrow"/>
        </w:rPr>
      </w:pPr>
      <w:r w:rsidRPr="00866D11">
        <w:rPr>
          <w:rFonts w:ascii="Arial Narrow" w:hAnsi="Arial Narrow"/>
        </w:rPr>
        <w:t xml:space="preserve">Assist the treatment facilities and appropriate court personnel in the development of conditional release plans. </w:t>
      </w:r>
    </w:p>
    <w:p w14:paraId="3E69BD06" w14:textId="77777777" w:rsidR="00542F97" w:rsidRPr="00866D11" w:rsidRDefault="00542F97" w:rsidP="004251CE">
      <w:pPr>
        <w:numPr>
          <w:ilvl w:val="0"/>
          <w:numId w:val="20"/>
        </w:numPr>
        <w:spacing w:before="120" w:after="120" w:line="240" w:lineRule="auto"/>
        <w:ind w:left="270" w:firstLine="0"/>
        <w:rPr>
          <w:rFonts w:ascii="Arial Narrow" w:hAnsi="Arial Narrow"/>
        </w:rPr>
      </w:pPr>
      <w:r w:rsidRPr="00866D11">
        <w:rPr>
          <w:rFonts w:ascii="Arial Narrow" w:hAnsi="Arial Narrow"/>
        </w:rPr>
        <w:t>Provide or ensure the provision of information to the Courts and the attorneys pertaining to the individual’s treatment in the state treatment facility(s) as requested.</w:t>
      </w:r>
    </w:p>
    <w:sectPr w:rsidR="00542F97" w:rsidRPr="00866D11" w:rsidSect="000D60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C0CF0" w14:textId="77777777" w:rsidR="00FD7269" w:rsidRDefault="00FD7269" w:rsidP="0059519D">
      <w:pPr>
        <w:spacing w:after="0" w:line="240" w:lineRule="auto"/>
      </w:pPr>
      <w:r>
        <w:separator/>
      </w:r>
    </w:p>
  </w:endnote>
  <w:endnote w:type="continuationSeparator" w:id="0">
    <w:p w14:paraId="653D903F" w14:textId="77777777" w:rsidR="00FD7269" w:rsidRDefault="00FD7269" w:rsidP="0059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9BD35" w14:textId="77777777" w:rsidR="007F4EAF" w:rsidRDefault="007F4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A4B31" w14:textId="77231417" w:rsidR="003E10A0" w:rsidRPr="004E20B0" w:rsidRDefault="002F28B0" w:rsidP="00E005D6">
    <w:pPr>
      <w:tabs>
        <w:tab w:val="center" w:pos="4320"/>
        <w:tab w:val="right" w:pos="8640"/>
      </w:tabs>
      <w:spacing w:after="0" w:line="240" w:lineRule="auto"/>
      <w:jc w:val="center"/>
      <w:rPr>
        <w:rFonts w:ascii="Arial Narrow" w:eastAsia="Times New Roman" w:hAnsi="Arial Narrow"/>
      </w:rPr>
    </w:pPr>
    <w:r w:rsidRPr="00DC423C">
      <w:rPr>
        <w:rFonts w:ascii="Arial Narrow" w:eastAsia="Times New Roman" w:hAnsi="Arial Narrow"/>
      </w:rPr>
      <w:fldChar w:fldCharType="begin"/>
    </w:r>
    <w:r w:rsidR="00471482" w:rsidRPr="00DC423C">
      <w:rPr>
        <w:rFonts w:ascii="Arial Narrow" w:eastAsia="Times New Roman" w:hAnsi="Arial Narrow"/>
      </w:rPr>
      <w:instrText xml:space="preserve"> PAGE   \* MERGEFORMAT </w:instrText>
    </w:r>
    <w:r w:rsidRPr="00DC423C">
      <w:rPr>
        <w:rFonts w:ascii="Arial Narrow" w:eastAsia="Times New Roman" w:hAnsi="Arial Narrow"/>
      </w:rPr>
      <w:fldChar w:fldCharType="separate"/>
    </w:r>
    <w:r w:rsidR="00C11F60">
      <w:rPr>
        <w:rFonts w:ascii="Arial Narrow" w:eastAsia="Times New Roman" w:hAnsi="Arial Narrow"/>
        <w:noProof/>
      </w:rPr>
      <w:t>3</w:t>
    </w:r>
    <w:r w:rsidRPr="00DC423C">
      <w:rPr>
        <w:rFonts w:ascii="Arial Narrow" w:eastAsia="Times New Roman" w:hAnsi="Arial Narro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B67CD" w14:textId="6403CCFF" w:rsidR="00D72F05" w:rsidRPr="00DC423C" w:rsidRDefault="002F28B0" w:rsidP="000D6064">
    <w:pPr>
      <w:tabs>
        <w:tab w:val="center" w:pos="4320"/>
        <w:tab w:val="right" w:pos="8640"/>
      </w:tabs>
      <w:spacing w:after="0" w:line="240" w:lineRule="auto"/>
      <w:jc w:val="center"/>
      <w:rPr>
        <w:rFonts w:ascii="Arial Narrow" w:eastAsia="Times New Roman" w:hAnsi="Arial Narrow"/>
      </w:rPr>
    </w:pPr>
    <w:r w:rsidRPr="00DC423C">
      <w:rPr>
        <w:rFonts w:ascii="Arial Narrow" w:eastAsia="Times New Roman" w:hAnsi="Arial Narrow"/>
      </w:rPr>
      <w:fldChar w:fldCharType="begin"/>
    </w:r>
    <w:r w:rsidR="00D72F05" w:rsidRPr="00DC423C">
      <w:rPr>
        <w:rFonts w:ascii="Arial Narrow" w:eastAsia="Times New Roman" w:hAnsi="Arial Narrow"/>
      </w:rPr>
      <w:instrText xml:space="preserve"> PAGE   \* MERGEFORMAT </w:instrText>
    </w:r>
    <w:r w:rsidRPr="00DC423C">
      <w:rPr>
        <w:rFonts w:ascii="Arial Narrow" w:eastAsia="Times New Roman" w:hAnsi="Arial Narrow"/>
      </w:rPr>
      <w:fldChar w:fldCharType="separate"/>
    </w:r>
    <w:r w:rsidR="00C11F60">
      <w:rPr>
        <w:rFonts w:ascii="Arial Narrow" w:eastAsia="Times New Roman" w:hAnsi="Arial Narrow"/>
        <w:noProof/>
      </w:rPr>
      <w:t>1</w:t>
    </w:r>
    <w:r w:rsidRPr="00DC423C">
      <w:rPr>
        <w:rFonts w:ascii="Arial Narrow" w:eastAsia="Times New Roman" w:hAnsi="Arial Narrow"/>
      </w:rPr>
      <w:fldChar w:fldCharType="end"/>
    </w:r>
  </w:p>
  <w:p w14:paraId="32E9E124" w14:textId="5BA4E940" w:rsidR="00D72F05" w:rsidRPr="00DC423C" w:rsidRDefault="00D72F05" w:rsidP="000D6064">
    <w:pPr>
      <w:tabs>
        <w:tab w:val="center" w:pos="4320"/>
        <w:tab w:val="right" w:pos="8640"/>
      </w:tabs>
      <w:spacing w:after="0" w:line="240" w:lineRule="auto"/>
      <w:jc w:val="right"/>
      <w:rPr>
        <w:rFonts w:ascii="Arial Narrow" w:eastAsia="Times New Roman" w:hAnsi="Arial Narrow"/>
      </w:rPr>
    </w:pPr>
    <w:r>
      <w:rPr>
        <w:rFonts w:ascii="Arial Narrow" w:eastAsia="Times New Roman" w:hAnsi="Arial Narrow"/>
      </w:rPr>
      <w:t>Effective</w:t>
    </w:r>
    <w:r w:rsidRPr="00DC423C">
      <w:rPr>
        <w:rFonts w:ascii="Arial Narrow" w:eastAsia="Times New Roman" w:hAnsi="Arial Narrow"/>
      </w:rPr>
      <w:t xml:space="preserve">: </w:t>
    </w:r>
    <w:r w:rsidR="00456102">
      <w:rPr>
        <w:rFonts w:ascii="Arial Narrow" w:eastAsia="Times New Roman" w:hAnsi="Arial Narrow"/>
      </w:rPr>
      <w:t>July 1</w:t>
    </w:r>
    <w:r w:rsidR="004F2D24">
      <w:rPr>
        <w:rFonts w:ascii="Arial Narrow" w:eastAsia="Times New Roman" w:hAnsi="Arial Narrow"/>
      </w:rPr>
      <w:t xml:space="preserve">, </w:t>
    </w:r>
    <w:r w:rsidR="00B66216">
      <w:rPr>
        <w:rFonts w:ascii="Arial Narrow" w:eastAsia="Times New Roman" w:hAnsi="Arial Narrow"/>
      </w:rPr>
      <w:t>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3ED33" w14:textId="77777777" w:rsidR="00FD7269" w:rsidRDefault="00FD7269" w:rsidP="0059519D">
      <w:pPr>
        <w:spacing w:after="0" w:line="240" w:lineRule="auto"/>
      </w:pPr>
      <w:r>
        <w:separator/>
      </w:r>
    </w:p>
  </w:footnote>
  <w:footnote w:type="continuationSeparator" w:id="0">
    <w:p w14:paraId="7D984C88" w14:textId="77777777" w:rsidR="00FD7269" w:rsidRDefault="00FD7269" w:rsidP="00595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9F920" w14:textId="59A7354C" w:rsidR="00D528AD" w:rsidRDefault="00D528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97B5F" w14:textId="7EB485CA" w:rsidR="00D528AD" w:rsidRDefault="00D528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0D6F2" w14:textId="6A6C5935" w:rsidR="00D72F05" w:rsidRPr="00DC423C" w:rsidRDefault="00D72F05" w:rsidP="006C29CE">
    <w:pPr>
      <w:pBdr>
        <w:bottom w:val="single" w:sz="4" w:space="1" w:color="auto"/>
      </w:pBdr>
      <w:tabs>
        <w:tab w:val="center" w:pos="4320"/>
        <w:tab w:val="right" w:pos="9360"/>
      </w:tabs>
      <w:spacing w:after="0" w:line="240" w:lineRule="auto"/>
      <w:rPr>
        <w:rFonts w:ascii="Arial Narrow" w:eastAsia="Times New Roman" w:hAnsi="Arial Narrow" w:cs="Arial"/>
        <w:sz w:val="24"/>
        <w:szCs w:val="24"/>
      </w:rPr>
    </w:pPr>
    <w:r w:rsidRPr="00DC423C">
      <w:rPr>
        <w:rFonts w:ascii="Arial Narrow" w:eastAsia="Times New Roman" w:hAnsi="Arial Narrow"/>
        <w:b/>
        <w:bCs/>
        <w:noProof/>
      </w:rPr>
      <w:drawing>
        <wp:anchor distT="0" distB="0" distL="114300" distR="114300" simplePos="0" relativeHeight="251658752" behindDoc="1" locked="0" layoutInCell="1" allowOverlap="1" wp14:anchorId="537FE1EC" wp14:editId="6C0AFA44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1" name="Picture 1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C423C">
      <w:rPr>
        <w:rFonts w:ascii="Arial Narrow" w:eastAsia="Times New Roman" w:hAnsi="Arial Narrow" w:cs="Arial"/>
        <w:sz w:val="24"/>
        <w:szCs w:val="24"/>
      </w:rPr>
      <w:t xml:space="preserve">Program Guidance for Managing Entity Contracts </w:t>
    </w:r>
    <w:r w:rsidRPr="00DC423C">
      <w:rPr>
        <w:rFonts w:ascii="Arial Narrow" w:eastAsia="Times New Roman" w:hAnsi="Arial Narrow" w:cs="Arial"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EF0"/>
    <w:multiLevelType w:val="hybridMultilevel"/>
    <w:tmpl w:val="0DBA1C00"/>
    <w:lvl w:ilvl="0" w:tplc="178EF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B9892B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7C82"/>
    <w:multiLevelType w:val="hybridMultilevel"/>
    <w:tmpl w:val="DA28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F7FB1"/>
    <w:multiLevelType w:val="hybridMultilevel"/>
    <w:tmpl w:val="BAA002D8"/>
    <w:lvl w:ilvl="0" w:tplc="FFFFFFFF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8CA64BB"/>
    <w:multiLevelType w:val="hybridMultilevel"/>
    <w:tmpl w:val="47A0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01A68"/>
    <w:multiLevelType w:val="hybridMultilevel"/>
    <w:tmpl w:val="9258CFBC"/>
    <w:lvl w:ilvl="0" w:tplc="E73A5EE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034905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DCEEA5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13EC23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6D6807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C50EF7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B10F5E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EEC22C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37CFB7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 w15:restartNumberingAfterBreak="0">
    <w:nsid w:val="17037D40"/>
    <w:multiLevelType w:val="hybridMultilevel"/>
    <w:tmpl w:val="E7729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3D47CC"/>
    <w:multiLevelType w:val="hybridMultilevel"/>
    <w:tmpl w:val="39F4A458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24493F45"/>
    <w:multiLevelType w:val="hybridMultilevel"/>
    <w:tmpl w:val="B1AA6FC4"/>
    <w:lvl w:ilvl="0" w:tplc="28689F30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8F4370"/>
    <w:multiLevelType w:val="hybridMultilevel"/>
    <w:tmpl w:val="C97E71A4"/>
    <w:lvl w:ilvl="0" w:tplc="9B9892B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756DC"/>
    <w:multiLevelType w:val="hybridMultilevel"/>
    <w:tmpl w:val="116A8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EB7BC8"/>
    <w:multiLevelType w:val="hybridMultilevel"/>
    <w:tmpl w:val="7F542532"/>
    <w:lvl w:ilvl="0" w:tplc="9B9892B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E2B3E"/>
    <w:multiLevelType w:val="hybridMultilevel"/>
    <w:tmpl w:val="6F9C2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17CD2"/>
    <w:multiLevelType w:val="hybridMultilevel"/>
    <w:tmpl w:val="AEA0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A4B9E"/>
    <w:multiLevelType w:val="hybridMultilevel"/>
    <w:tmpl w:val="EE421B46"/>
    <w:lvl w:ilvl="0" w:tplc="FB26A562">
      <w:start w:val="1"/>
      <w:numFmt w:val="decimal"/>
      <w:lvlText w:val="%1."/>
      <w:lvlJc w:val="left"/>
      <w:pPr>
        <w:ind w:left="1800" w:hanging="720"/>
      </w:pPr>
      <w:rPr>
        <w:rFonts w:hint="default"/>
        <w:b/>
      </w:rPr>
    </w:lvl>
    <w:lvl w:ilvl="1" w:tplc="D572070A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545B0F"/>
    <w:multiLevelType w:val="hybridMultilevel"/>
    <w:tmpl w:val="6386A444"/>
    <w:lvl w:ilvl="0" w:tplc="492A59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84B86"/>
    <w:multiLevelType w:val="hybridMultilevel"/>
    <w:tmpl w:val="2276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F1098"/>
    <w:multiLevelType w:val="hybridMultilevel"/>
    <w:tmpl w:val="7F542532"/>
    <w:lvl w:ilvl="0" w:tplc="9B9892B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97FC8"/>
    <w:multiLevelType w:val="hybridMultilevel"/>
    <w:tmpl w:val="C97E71A4"/>
    <w:lvl w:ilvl="0" w:tplc="9B9892B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160B8"/>
    <w:multiLevelType w:val="hybridMultilevel"/>
    <w:tmpl w:val="7780D0D2"/>
    <w:lvl w:ilvl="0" w:tplc="E9FE72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76746B8"/>
    <w:multiLevelType w:val="hybridMultilevel"/>
    <w:tmpl w:val="DFCC2C9A"/>
    <w:lvl w:ilvl="0" w:tplc="0082D6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ABA9C3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05EAE"/>
    <w:multiLevelType w:val="hybridMultilevel"/>
    <w:tmpl w:val="26DE7AE8"/>
    <w:lvl w:ilvl="0" w:tplc="BFCC9D6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224B25"/>
    <w:multiLevelType w:val="hybridMultilevel"/>
    <w:tmpl w:val="EE421B46"/>
    <w:lvl w:ilvl="0" w:tplc="FB26A562">
      <w:start w:val="1"/>
      <w:numFmt w:val="decimal"/>
      <w:lvlText w:val="%1."/>
      <w:lvlJc w:val="left"/>
      <w:pPr>
        <w:ind w:left="1800" w:hanging="720"/>
      </w:pPr>
      <w:rPr>
        <w:rFonts w:hint="default"/>
        <w:b/>
      </w:rPr>
    </w:lvl>
    <w:lvl w:ilvl="1" w:tplc="D572070A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BA017F"/>
    <w:multiLevelType w:val="hybridMultilevel"/>
    <w:tmpl w:val="E6829A36"/>
    <w:lvl w:ilvl="0" w:tplc="239C66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686C30"/>
    <w:multiLevelType w:val="hybridMultilevel"/>
    <w:tmpl w:val="0F127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A098D"/>
    <w:multiLevelType w:val="hybridMultilevel"/>
    <w:tmpl w:val="DF78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B42A4"/>
    <w:multiLevelType w:val="hybridMultilevel"/>
    <w:tmpl w:val="8156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5"/>
  </w:num>
  <w:num w:numId="4">
    <w:abstractNumId w:val="9"/>
  </w:num>
  <w:num w:numId="5">
    <w:abstractNumId w:val="15"/>
  </w:num>
  <w:num w:numId="6">
    <w:abstractNumId w:val="12"/>
  </w:num>
  <w:num w:numId="7">
    <w:abstractNumId w:val="24"/>
  </w:num>
  <w:num w:numId="8">
    <w:abstractNumId w:val="1"/>
  </w:num>
  <w:num w:numId="9">
    <w:abstractNumId w:val="19"/>
  </w:num>
  <w:num w:numId="10">
    <w:abstractNumId w:val="0"/>
  </w:num>
  <w:num w:numId="11">
    <w:abstractNumId w:val="22"/>
  </w:num>
  <w:num w:numId="12">
    <w:abstractNumId w:val="13"/>
  </w:num>
  <w:num w:numId="13">
    <w:abstractNumId w:val="5"/>
  </w:num>
  <w:num w:numId="14">
    <w:abstractNumId w:val="7"/>
  </w:num>
  <w:num w:numId="15">
    <w:abstractNumId w:val="6"/>
  </w:num>
  <w:num w:numId="16">
    <w:abstractNumId w:val="11"/>
  </w:num>
  <w:num w:numId="17">
    <w:abstractNumId w:val="3"/>
  </w:num>
  <w:num w:numId="18">
    <w:abstractNumId w:val="14"/>
  </w:num>
  <w:num w:numId="19">
    <w:abstractNumId w:val="16"/>
  </w:num>
  <w:num w:numId="20">
    <w:abstractNumId w:val="21"/>
  </w:num>
  <w:num w:numId="21">
    <w:abstractNumId w:val="10"/>
  </w:num>
  <w:num w:numId="22">
    <w:abstractNumId w:val="18"/>
  </w:num>
  <w:num w:numId="23">
    <w:abstractNumId w:val="23"/>
  </w:num>
  <w:num w:numId="24">
    <w:abstractNumId w:val="20"/>
  </w:num>
  <w:num w:numId="25">
    <w:abstractNumId w:val="1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9D"/>
    <w:rsid w:val="00010BC2"/>
    <w:rsid w:val="00034572"/>
    <w:rsid w:val="00071BFD"/>
    <w:rsid w:val="00072CBC"/>
    <w:rsid w:val="00080E0E"/>
    <w:rsid w:val="000A2A63"/>
    <w:rsid w:val="000B7F00"/>
    <w:rsid w:val="000D6064"/>
    <w:rsid w:val="00124C1C"/>
    <w:rsid w:val="00155D4C"/>
    <w:rsid w:val="00171B55"/>
    <w:rsid w:val="001859CA"/>
    <w:rsid w:val="001B0CC0"/>
    <w:rsid w:val="001C67D2"/>
    <w:rsid w:val="001D6891"/>
    <w:rsid w:val="001F140E"/>
    <w:rsid w:val="001F77D4"/>
    <w:rsid w:val="00214F8E"/>
    <w:rsid w:val="00231CF0"/>
    <w:rsid w:val="00246DD1"/>
    <w:rsid w:val="00264132"/>
    <w:rsid w:val="00277EF0"/>
    <w:rsid w:val="00286621"/>
    <w:rsid w:val="002C141C"/>
    <w:rsid w:val="002C2151"/>
    <w:rsid w:val="002C4308"/>
    <w:rsid w:val="002D6A73"/>
    <w:rsid w:val="002E0F78"/>
    <w:rsid w:val="002F28B0"/>
    <w:rsid w:val="00305499"/>
    <w:rsid w:val="003253AF"/>
    <w:rsid w:val="00340FBE"/>
    <w:rsid w:val="00344D4F"/>
    <w:rsid w:val="00356CEF"/>
    <w:rsid w:val="00382FFC"/>
    <w:rsid w:val="00397A9F"/>
    <w:rsid w:val="003B7AF4"/>
    <w:rsid w:val="003C43E6"/>
    <w:rsid w:val="003C4DD0"/>
    <w:rsid w:val="003E10A0"/>
    <w:rsid w:val="003F6B0B"/>
    <w:rsid w:val="00400E2D"/>
    <w:rsid w:val="004251CE"/>
    <w:rsid w:val="00426AE6"/>
    <w:rsid w:val="004278F6"/>
    <w:rsid w:val="00434A99"/>
    <w:rsid w:val="0044445A"/>
    <w:rsid w:val="00456102"/>
    <w:rsid w:val="00471482"/>
    <w:rsid w:val="00483385"/>
    <w:rsid w:val="004A082E"/>
    <w:rsid w:val="004C076C"/>
    <w:rsid w:val="004C1724"/>
    <w:rsid w:val="004E20B0"/>
    <w:rsid w:val="004F2D24"/>
    <w:rsid w:val="00526EAF"/>
    <w:rsid w:val="00535200"/>
    <w:rsid w:val="005414FD"/>
    <w:rsid w:val="00542F97"/>
    <w:rsid w:val="00547BE7"/>
    <w:rsid w:val="005530DC"/>
    <w:rsid w:val="005627B7"/>
    <w:rsid w:val="00571108"/>
    <w:rsid w:val="00574448"/>
    <w:rsid w:val="0059251E"/>
    <w:rsid w:val="0059519D"/>
    <w:rsid w:val="005C227F"/>
    <w:rsid w:val="005C5D9E"/>
    <w:rsid w:val="005E3B39"/>
    <w:rsid w:val="005F610F"/>
    <w:rsid w:val="00610037"/>
    <w:rsid w:val="00610F6F"/>
    <w:rsid w:val="00624567"/>
    <w:rsid w:val="00642823"/>
    <w:rsid w:val="00646291"/>
    <w:rsid w:val="006470F7"/>
    <w:rsid w:val="0067768B"/>
    <w:rsid w:val="00686833"/>
    <w:rsid w:val="006A5E0B"/>
    <w:rsid w:val="006C29CE"/>
    <w:rsid w:val="006D1ABB"/>
    <w:rsid w:val="006D3A9B"/>
    <w:rsid w:val="006E393F"/>
    <w:rsid w:val="006F48A7"/>
    <w:rsid w:val="0070120E"/>
    <w:rsid w:val="00733CAD"/>
    <w:rsid w:val="00762A0B"/>
    <w:rsid w:val="007F4EAF"/>
    <w:rsid w:val="007F60DF"/>
    <w:rsid w:val="008519F7"/>
    <w:rsid w:val="008544E2"/>
    <w:rsid w:val="00866D11"/>
    <w:rsid w:val="00877642"/>
    <w:rsid w:val="008811D8"/>
    <w:rsid w:val="008876FA"/>
    <w:rsid w:val="00895810"/>
    <w:rsid w:val="008B3F96"/>
    <w:rsid w:val="008C0E60"/>
    <w:rsid w:val="008F2C88"/>
    <w:rsid w:val="00902A0C"/>
    <w:rsid w:val="009060B8"/>
    <w:rsid w:val="0092643F"/>
    <w:rsid w:val="00944D47"/>
    <w:rsid w:val="00952695"/>
    <w:rsid w:val="009643C2"/>
    <w:rsid w:val="0097059B"/>
    <w:rsid w:val="00975864"/>
    <w:rsid w:val="0098518C"/>
    <w:rsid w:val="00987F88"/>
    <w:rsid w:val="009A1EE5"/>
    <w:rsid w:val="009A273C"/>
    <w:rsid w:val="009A3657"/>
    <w:rsid w:val="009A67EA"/>
    <w:rsid w:val="009A6BFD"/>
    <w:rsid w:val="009D6C28"/>
    <w:rsid w:val="009E2B4D"/>
    <w:rsid w:val="009F09EB"/>
    <w:rsid w:val="00A27301"/>
    <w:rsid w:val="00A74736"/>
    <w:rsid w:val="00A90047"/>
    <w:rsid w:val="00A9772E"/>
    <w:rsid w:val="00AB4F77"/>
    <w:rsid w:val="00AC0C98"/>
    <w:rsid w:val="00AF4ED1"/>
    <w:rsid w:val="00B020A5"/>
    <w:rsid w:val="00B15158"/>
    <w:rsid w:val="00B167F1"/>
    <w:rsid w:val="00B32564"/>
    <w:rsid w:val="00B40E34"/>
    <w:rsid w:val="00B66216"/>
    <w:rsid w:val="00B71355"/>
    <w:rsid w:val="00B82E29"/>
    <w:rsid w:val="00BA10FF"/>
    <w:rsid w:val="00BC7B0B"/>
    <w:rsid w:val="00C06E58"/>
    <w:rsid w:val="00C11F60"/>
    <w:rsid w:val="00C24F4E"/>
    <w:rsid w:val="00C36340"/>
    <w:rsid w:val="00C47D96"/>
    <w:rsid w:val="00C70953"/>
    <w:rsid w:val="00C9266C"/>
    <w:rsid w:val="00CB5673"/>
    <w:rsid w:val="00CF056F"/>
    <w:rsid w:val="00CF2238"/>
    <w:rsid w:val="00CF63F9"/>
    <w:rsid w:val="00D15784"/>
    <w:rsid w:val="00D17336"/>
    <w:rsid w:val="00D227C6"/>
    <w:rsid w:val="00D35AFB"/>
    <w:rsid w:val="00D37D89"/>
    <w:rsid w:val="00D528AD"/>
    <w:rsid w:val="00D72F05"/>
    <w:rsid w:val="00D8234B"/>
    <w:rsid w:val="00DC423C"/>
    <w:rsid w:val="00DF0757"/>
    <w:rsid w:val="00DF160A"/>
    <w:rsid w:val="00E005D6"/>
    <w:rsid w:val="00E138C4"/>
    <w:rsid w:val="00E169EF"/>
    <w:rsid w:val="00E2663E"/>
    <w:rsid w:val="00E377D0"/>
    <w:rsid w:val="00E560A1"/>
    <w:rsid w:val="00E820F6"/>
    <w:rsid w:val="00E970CC"/>
    <w:rsid w:val="00EC1D54"/>
    <w:rsid w:val="00ED48E1"/>
    <w:rsid w:val="00EE6B5E"/>
    <w:rsid w:val="00EF020C"/>
    <w:rsid w:val="00F03943"/>
    <w:rsid w:val="00F16739"/>
    <w:rsid w:val="00F21CCE"/>
    <w:rsid w:val="00F402C3"/>
    <w:rsid w:val="00F54D87"/>
    <w:rsid w:val="00F55D50"/>
    <w:rsid w:val="00F66636"/>
    <w:rsid w:val="00F80581"/>
    <w:rsid w:val="00FA72DE"/>
    <w:rsid w:val="00FB6619"/>
    <w:rsid w:val="00FD7269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4:docId w14:val="35DCC368"/>
  <w15:docId w15:val="{37B05F6E-088B-4B3E-BA90-9617AE63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951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1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519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19D"/>
  </w:style>
  <w:style w:type="paragraph" w:styleId="Footer">
    <w:name w:val="footer"/>
    <w:basedOn w:val="Normal"/>
    <w:link w:val="FooterChar"/>
    <w:uiPriority w:val="99"/>
    <w:unhideWhenUsed/>
    <w:rsid w:val="0059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19D"/>
  </w:style>
  <w:style w:type="paragraph" w:styleId="BalloonText">
    <w:name w:val="Balloon Text"/>
    <w:basedOn w:val="Normal"/>
    <w:link w:val="BalloonTextChar"/>
    <w:uiPriority w:val="99"/>
    <w:semiHidden/>
    <w:unhideWhenUsed/>
    <w:rsid w:val="0059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9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44D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D4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4A082E"/>
    <w:pPr>
      <w:ind w:left="720"/>
      <w:contextualSpacing/>
    </w:pPr>
  </w:style>
  <w:style w:type="character" w:customStyle="1" w:styleId="sectionnumber">
    <w:name w:val="sectionnumber"/>
    <w:basedOn w:val="DefaultParagraphFont"/>
    <w:rsid w:val="00C24F4E"/>
  </w:style>
  <w:style w:type="character" w:customStyle="1" w:styleId="number">
    <w:name w:val="number"/>
    <w:basedOn w:val="DefaultParagraphFont"/>
    <w:rsid w:val="00C24F4E"/>
  </w:style>
  <w:style w:type="character" w:customStyle="1" w:styleId="text">
    <w:name w:val="text"/>
    <w:basedOn w:val="DefaultParagraphFont"/>
    <w:rsid w:val="00C24F4E"/>
  </w:style>
  <w:style w:type="paragraph" w:styleId="NormalWeb">
    <w:name w:val="Normal (Web)"/>
    <w:basedOn w:val="Normal"/>
    <w:uiPriority w:val="99"/>
    <w:unhideWhenUsed/>
    <w:rsid w:val="009D6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AF4E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rsid w:val="00AF4ED1"/>
    <w:rPr>
      <w:rFonts w:ascii="Arial" w:eastAsia="Times New Roman" w:hAnsi="Arial"/>
      <w:sz w:val="22"/>
    </w:rPr>
  </w:style>
  <w:style w:type="paragraph" w:styleId="Revision">
    <w:name w:val="Revision"/>
    <w:hidden/>
    <w:uiPriority w:val="99"/>
    <w:semiHidden/>
    <w:rsid w:val="00C9266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70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9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9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9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5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85A71-5834-4562-BDD6-237AAC32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1199</Words>
  <Characters>6838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Children &amp; Families</Company>
  <LinksUpToDate>false</LinksUpToDate>
  <CharactersWithSpaces>8021</CharactersWithSpaces>
  <SharedDoc>false</SharedDoc>
  <HLinks>
    <vt:vector size="24" baseType="variant">
      <vt:variant>
        <vt:i4>6291493</vt:i4>
      </vt:variant>
      <vt:variant>
        <vt:i4>9</vt:i4>
      </vt:variant>
      <vt:variant>
        <vt:i4>0</vt:i4>
      </vt:variant>
      <vt:variant>
        <vt:i4>5</vt:i4>
      </vt:variant>
      <vt:variant>
        <vt:lpwstr>http://www.leg.state.fl.us/statutes/index.cfm?App_mode=Display_Statute&amp;URL=0300-0399/0394/0394PartIContentsIndex.html&amp;StatuteYear=2012&amp;Title=%2D%3E2012%2D%3EChapter%20394%2D%3EPart%20I</vt:lpwstr>
      </vt:variant>
      <vt:variant>
        <vt:lpwstr/>
      </vt:variant>
      <vt:variant>
        <vt:i4>5177366</vt:i4>
      </vt:variant>
      <vt:variant>
        <vt:i4>6</vt:i4>
      </vt:variant>
      <vt:variant>
        <vt:i4>0</vt:i4>
      </vt:variant>
      <vt:variant>
        <vt:i4>5</vt:i4>
      </vt:variant>
      <vt:variant>
        <vt:lpwstr>https://www.flrules.org/gateway/ChapterHome.asp?Chapter=65e-5</vt:lpwstr>
      </vt:variant>
      <vt:variant>
        <vt:lpwstr/>
      </vt:variant>
      <vt:variant>
        <vt:i4>8323110</vt:i4>
      </vt:variant>
      <vt:variant>
        <vt:i4>3</vt:i4>
      </vt:variant>
      <vt:variant>
        <vt:i4>0</vt:i4>
      </vt:variant>
      <vt:variant>
        <vt:i4>5</vt:i4>
      </vt:variant>
      <vt:variant>
        <vt:lpwstr>http://www.dcf.state.fl.us/admin/publications/policies.asp?path=155%20Mental%20Health%20-%20Substance%20Abuse%20(CFOP%20155-XX)</vt:lpwstr>
      </vt:variant>
      <vt:variant>
        <vt:lpwstr/>
      </vt:variant>
      <vt:variant>
        <vt:i4>7995431</vt:i4>
      </vt:variant>
      <vt:variant>
        <vt:i4>0</vt:i4>
      </vt:variant>
      <vt:variant>
        <vt:i4>0</vt:i4>
      </vt:variant>
      <vt:variant>
        <vt:i4>5</vt:i4>
      </vt:variant>
      <vt:variant>
        <vt:lpwstr>https://www.flrules.org/gateway/ChapterHome.asp?Chapter=65E-15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mercier-tammie</dc:creator>
  <cp:lastModifiedBy>Micallef, Jimmers</cp:lastModifiedBy>
  <cp:revision>2</cp:revision>
  <cp:lastPrinted>2015-03-20T14:51:00Z</cp:lastPrinted>
  <dcterms:created xsi:type="dcterms:W3CDTF">2018-06-01T21:21:00Z</dcterms:created>
  <dcterms:modified xsi:type="dcterms:W3CDTF">2018-06-01T21:21:00Z</dcterms:modified>
</cp:coreProperties>
</file>