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5114" w14:textId="77777777" w:rsidR="00BC1E82" w:rsidRPr="00B057DC" w:rsidRDefault="000A1D8A" w:rsidP="00216026">
      <w:pPr>
        <w:spacing w:before="120" w:after="120"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Guidance</w:t>
      </w:r>
      <w:r w:rsidR="00BC1E82" w:rsidRPr="00B057D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12B75">
        <w:rPr>
          <w:rFonts w:ascii="Arial Narrow" w:hAnsi="Arial Narrow" w:cs="Times New Roman"/>
          <w:b/>
          <w:sz w:val="24"/>
          <w:szCs w:val="24"/>
        </w:rPr>
        <w:t>6</w:t>
      </w:r>
    </w:p>
    <w:p w14:paraId="316D5025" w14:textId="77777777" w:rsidR="00B614C4" w:rsidRPr="00B057DC" w:rsidRDefault="00A84057" w:rsidP="00216026">
      <w:pPr>
        <w:spacing w:before="120" w:after="120"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B057DC">
        <w:rPr>
          <w:rFonts w:ascii="Arial Narrow" w:hAnsi="Arial Narrow" w:cs="Times New Roman"/>
          <w:b/>
          <w:sz w:val="24"/>
          <w:szCs w:val="24"/>
        </w:rPr>
        <w:t>O</w:t>
      </w:r>
      <w:r w:rsidR="00986AB0" w:rsidRPr="00B057DC">
        <w:rPr>
          <w:rFonts w:ascii="Arial Narrow" w:hAnsi="Arial Narrow" w:cs="Times New Roman"/>
          <w:b/>
          <w:sz w:val="24"/>
          <w:szCs w:val="24"/>
        </w:rPr>
        <w:t xml:space="preserve">utpatient </w:t>
      </w:r>
      <w:r w:rsidR="00B614C4" w:rsidRPr="00B057DC">
        <w:rPr>
          <w:rFonts w:ascii="Arial Narrow" w:hAnsi="Arial Narrow" w:cs="Times New Roman"/>
          <w:b/>
          <w:sz w:val="24"/>
          <w:szCs w:val="24"/>
        </w:rPr>
        <w:t>F</w:t>
      </w:r>
      <w:r w:rsidR="00986AB0" w:rsidRPr="00B057DC">
        <w:rPr>
          <w:rFonts w:ascii="Arial Narrow" w:hAnsi="Arial Narrow" w:cs="Times New Roman"/>
          <w:b/>
          <w:sz w:val="24"/>
          <w:szCs w:val="24"/>
        </w:rPr>
        <w:t>orensic</w:t>
      </w:r>
      <w:r w:rsidR="00B614C4" w:rsidRPr="00B057DC">
        <w:rPr>
          <w:rFonts w:ascii="Arial Narrow" w:hAnsi="Arial Narrow" w:cs="Times New Roman"/>
          <w:b/>
          <w:sz w:val="24"/>
          <w:szCs w:val="24"/>
        </w:rPr>
        <w:t xml:space="preserve"> M</w:t>
      </w:r>
      <w:r w:rsidR="00986AB0" w:rsidRPr="00B057DC">
        <w:rPr>
          <w:rFonts w:ascii="Arial Narrow" w:hAnsi="Arial Narrow" w:cs="Times New Roman"/>
          <w:b/>
          <w:sz w:val="24"/>
          <w:szCs w:val="24"/>
        </w:rPr>
        <w:t>ental</w:t>
      </w:r>
      <w:r w:rsidR="00B614C4" w:rsidRPr="00B057DC">
        <w:rPr>
          <w:rFonts w:ascii="Arial Narrow" w:hAnsi="Arial Narrow" w:cs="Times New Roman"/>
          <w:b/>
          <w:sz w:val="24"/>
          <w:szCs w:val="24"/>
        </w:rPr>
        <w:t xml:space="preserve"> H</w:t>
      </w:r>
      <w:r w:rsidR="00986AB0" w:rsidRPr="00B057DC">
        <w:rPr>
          <w:rFonts w:ascii="Arial Narrow" w:hAnsi="Arial Narrow" w:cs="Times New Roman"/>
          <w:b/>
          <w:sz w:val="24"/>
          <w:szCs w:val="24"/>
        </w:rPr>
        <w:t>ealth</w:t>
      </w:r>
      <w:r w:rsidR="00B614C4" w:rsidRPr="00B057DC">
        <w:rPr>
          <w:rFonts w:ascii="Arial Narrow" w:hAnsi="Arial Narrow" w:cs="Times New Roman"/>
          <w:b/>
          <w:sz w:val="24"/>
          <w:szCs w:val="24"/>
        </w:rPr>
        <w:t xml:space="preserve"> S</w:t>
      </w:r>
      <w:r w:rsidR="00986AB0" w:rsidRPr="00B057DC">
        <w:rPr>
          <w:rFonts w:ascii="Arial Narrow" w:hAnsi="Arial Narrow" w:cs="Times New Roman"/>
          <w:b/>
          <w:sz w:val="24"/>
          <w:szCs w:val="24"/>
        </w:rPr>
        <w:t>ervices</w:t>
      </w:r>
    </w:p>
    <w:p w14:paraId="49A87A27" w14:textId="77777777" w:rsidR="00BC1E82" w:rsidRPr="00B057DC" w:rsidRDefault="00BC1E82" w:rsidP="00216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before="120" w:after="120" w:line="240" w:lineRule="auto"/>
        <w:rPr>
          <w:rFonts w:ascii="Arial Narrow" w:hAnsi="Arial Narrow" w:cs="Times New Roman"/>
          <w:b/>
        </w:rPr>
      </w:pPr>
    </w:p>
    <w:p w14:paraId="5F62F46C" w14:textId="77777777" w:rsidR="0059651C" w:rsidRDefault="0059651C" w:rsidP="0059651C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Contract Reference: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i/>
        </w:rPr>
        <w:t>Section</w:t>
      </w:r>
      <w:r w:rsidR="00191D57">
        <w:rPr>
          <w:rFonts w:ascii="Arial Narrow" w:hAnsi="Arial Narrow" w:cs="Times New Roman"/>
          <w:i/>
        </w:rPr>
        <w:t>s A-1.1 and</w:t>
      </w:r>
      <w:r>
        <w:rPr>
          <w:rFonts w:ascii="Arial Narrow" w:hAnsi="Arial Narrow" w:cs="Times New Roman"/>
          <w:i/>
        </w:rPr>
        <w:t xml:space="preserve"> C-1.3.2</w:t>
      </w:r>
    </w:p>
    <w:p w14:paraId="7247AD4C" w14:textId="77777777" w:rsidR="00944D47" w:rsidRPr="00B057DC" w:rsidRDefault="0059651C" w:rsidP="00BC1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before="120" w:after="120" w:line="24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b/>
        </w:rPr>
        <w:t>Authorities</w:t>
      </w:r>
      <w:r w:rsidR="00944D47" w:rsidRPr="00B057DC">
        <w:rPr>
          <w:rFonts w:ascii="Arial Narrow" w:hAnsi="Arial Narrow" w:cs="Times New Roman"/>
          <w:b/>
        </w:rPr>
        <w:t>:</w:t>
      </w:r>
      <w:r>
        <w:rPr>
          <w:rFonts w:ascii="Arial Narrow" w:hAnsi="Arial Narrow" w:cs="Times New Roman"/>
          <w:b/>
        </w:rPr>
        <w:tab/>
      </w:r>
      <w:r w:rsidR="00944D47" w:rsidRPr="00B057DC">
        <w:rPr>
          <w:rFonts w:ascii="Arial Narrow" w:hAnsi="Arial Narrow" w:cs="Times New Roman"/>
        </w:rPr>
        <w:tab/>
      </w:r>
      <w:r w:rsidR="00257631" w:rsidRPr="00B057DC">
        <w:rPr>
          <w:rFonts w:ascii="Arial Narrow" w:hAnsi="Arial Narrow" w:cs="Times New Roman"/>
          <w:i/>
        </w:rPr>
        <w:t xml:space="preserve">Chapter 916, </w:t>
      </w:r>
      <w:r w:rsidR="0000305E" w:rsidRPr="00B057DC">
        <w:rPr>
          <w:rFonts w:ascii="Arial Narrow" w:hAnsi="Arial Narrow" w:cs="Times New Roman"/>
          <w:i/>
        </w:rPr>
        <w:t>F.S.</w:t>
      </w:r>
    </w:p>
    <w:p w14:paraId="42D02330" w14:textId="77777777" w:rsidR="002F101B" w:rsidRDefault="002F101B" w:rsidP="00BC1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before="120" w:after="120" w:line="240" w:lineRule="auto"/>
        <w:rPr>
          <w:rFonts w:ascii="Arial Narrow" w:hAnsi="Arial Narrow" w:cs="Times New Roman"/>
          <w:i/>
        </w:rPr>
      </w:pPr>
      <w:r w:rsidRPr="00B057DC">
        <w:rPr>
          <w:rFonts w:ascii="Arial Narrow" w:hAnsi="Arial Narrow" w:cs="Times New Roman"/>
          <w:i/>
        </w:rPr>
        <w:tab/>
      </w:r>
      <w:r w:rsidRPr="00B057DC">
        <w:rPr>
          <w:rFonts w:ascii="Arial Narrow" w:hAnsi="Arial Narrow" w:cs="Times New Roman"/>
          <w:i/>
        </w:rPr>
        <w:tab/>
      </w:r>
      <w:r w:rsidR="0059651C">
        <w:rPr>
          <w:rFonts w:ascii="Arial Narrow" w:hAnsi="Arial Narrow" w:cs="Times New Roman"/>
          <w:i/>
        </w:rPr>
        <w:tab/>
      </w:r>
      <w:r w:rsidRPr="00B057DC">
        <w:rPr>
          <w:rFonts w:ascii="Arial Narrow" w:hAnsi="Arial Narrow" w:cs="Times New Roman"/>
          <w:i/>
        </w:rPr>
        <w:t>Children &amp; Families Operating Procedure (CFOP) 155-18</w:t>
      </w:r>
    </w:p>
    <w:p w14:paraId="45E2B58A" w14:textId="53A2DD4C" w:rsidR="00944D47" w:rsidRPr="00B057DC" w:rsidRDefault="00944D47" w:rsidP="00BC1E82">
      <w:pPr>
        <w:spacing w:before="120" w:after="120" w:line="240" w:lineRule="auto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  <w:b/>
        </w:rPr>
        <w:t>Frequency:</w:t>
      </w:r>
      <w:r w:rsidRPr="00B057DC">
        <w:rPr>
          <w:rFonts w:ascii="Arial Narrow" w:hAnsi="Arial Narrow" w:cs="Times New Roman"/>
        </w:rPr>
        <w:tab/>
      </w:r>
      <w:r w:rsidR="0059651C">
        <w:rPr>
          <w:rFonts w:ascii="Arial Narrow" w:hAnsi="Arial Narrow" w:cs="Times New Roman"/>
        </w:rPr>
        <w:tab/>
      </w:r>
      <w:r w:rsidR="00877208">
        <w:rPr>
          <w:rFonts w:ascii="Arial Narrow" w:hAnsi="Arial Narrow" w:cs="Times New Roman"/>
        </w:rPr>
        <w:t>Monthly Reports</w:t>
      </w:r>
    </w:p>
    <w:p w14:paraId="255B4574" w14:textId="5737A9DF" w:rsidR="00944D47" w:rsidRPr="00B057DC" w:rsidRDefault="00944D47" w:rsidP="00BC1E82">
      <w:pPr>
        <w:spacing w:before="120" w:after="120" w:line="240" w:lineRule="auto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  <w:b/>
        </w:rPr>
        <w:t>Due Date:</w:t>
      </w:r>
      <w:r w:rsidRPr="00B057DC">
        <w:rPr>
          <w:rFonts w:ascii="Arial Narrow" w:hAnsi="Arial Narrow" w:cs="Times New Roman"/>
        </w:rPr>
        <w:tab/>
      </w:r>
      <w:r w:rsidR="0059651C">
        <w:rPr>
          <w:rFonts w:ascii="Arial Narrow" w:hAnsi="Arial Narrow" w:cs="Times New Roman"/>
        </w:rPr>
        <w:tab/>
      </w:r>
      <w:r w:rsidR="009F34A2">
        <w:rPr>
          <w:rFonts w:ascii="Arial Narrow" w:hAnsi="Arial Narrow" w:cs="Times New Roman"/>
        </w:rPr>
        <w:t>1</w:t>
      </w:r>
      <w:r w:rsidR="006A204F">
        <w:rPr>
          <w:rFonts w:ascii="Arial Narrow" w:hAnsi="Arial Narrow" w:cs="Times New Roman"/>
        </w:rPr>
        <w:t>5th of each month</w:t>
      </w:r>
    </w:p>
    <w:p w14:paraId="39843035" w14:textId="77777777" w:rsidR="0059651C" w:rsidRDefault="00944D47" w:rsidP="00BC1E82">
      <w:pPr>
        <w:spacing w:before="120" w:after="120" w:line="240" w:lineRule="auto"/>
        <w:rPr>
          <w:rFonts w:ascii="Arial Narrow" w:hAnsi="Arial Narrow" w:cs="Times New Roman"/>
          <w:b/>
        </w:rPr>
      </w:pPr>
      <w:r w:rsidRPr="00B057DC">
        <w:rPr>
          <w:rFonts w:ascii="Arial Narrow" w:hAnsi="Arial Narrow" w:cs="Times New Roman"/>
          <w:b/>
        </w:rPr>
        <w:t>D</w:t>
      </w:r>
      <w:r w:rsidR="00BC1E82" w:rsidRPr="00B057DC">
        <w:rPr>
          <w:rFonts w:ascii="Arial Narrow" w:hAnsi="Arial Narrow" w:cs="Times New Roman"/>
          <w:b/>
        </w:rPr>
        <w:t>iscussion</w:t>
      </w:r>
      <w:r w:rsidRPr="00B057DC">
        <w:rPr>
          <w:rFonts w:ascii="Arial Narrow" w:hAnsi="Arial Narrow" w:cs="Times New Roman"/>
          <w:b/>
        </w:rPr>
        <w:t>:</w:t>
      </w:r>
      <w:r w:rsidR="00BC1E82" w:rsidRPr="00B057DC">
        <w:rPr>
          <w:rFonts w:ascii="Arial Narrow" w:hAnsi="Arial Narrow" w:cs="Times New Roman"/>
          <w:b/>
        </w:rPr>
        <w:tab/>
      </w:r>
    </w:p>
    <w:p w14:paraId="1F3A3C85" w14:textId="77777777" w:rsidR="00F206CF" w:rsidRDefault="00A84057" w:rsidP="00BC1E82">
      <w:pPr>
        <w:spacing w:before="120" w:after="120" w:line="240" w:lineRule="auto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>This</w:t>
      </w:r>
      <w:r w:rsidR="00460ADC">
        <w:rPr>
          <w:rFonts w:ascii="Arial Narrow" w:hAnsi="Arial Narrow" w:cs="Times New Roman"/>
        </w:rPr>
        <w:t xml:space="preserve"> </w:t>
      </w:r>
      <w:r w:rsidR="00F56C8B">
        <w:rPr>
          <w:rFonts w:ascii="Arial Narrow" w:hAnsi="Arial Narrow" w:cs="Times New Roman"/>
        </w:rPr>
        <w:t xml:space="preserve">document </w:t>
      </w:r>
      <w:r w:rsidR="001C5D06">
        <w:rPr>
          <w:rFonts w:ascii="Arial Narrow" w:hAnsi="Arial Narrow" w:cs="Times New Roman"/>
        </w:rPr>
        <w:t xml:space="preserve">specifies Network Service </w:t>
      </w:r>
      <w:r w:rsidR="00F206CF">
        <w:rPr>
          <w:rFonts w:ascii="Arial Narrow" w:hAnsi="Arial Narrow" w:cs="Times New Roman"/>
        </w:rPr>
        <w:t>P</w:t>
      </w:r>
      <w:r w:rsidR="001C5D06">
        <w:rPr>
          <w:rFonts w:ascii="Arial Narrow" w:hAnsi="Arial Narrow" w:cs="Times New Roman"/>
        </w:rPr>
        <w:t xml:space="preserve">rovider responsibilities </w:t>
      </w:r>
      <w:r w:rsidRPr="00B057DC">
        <w:rPr>
          <w:rFonts w:ascii="Arial Narrow" w:hAnsi="Arial Narrow" w:cs="Times New Roman"/>
        </w:rPr>
        <w:t>relate</w:t>
      </w:r>
      <w:r w:rsidR="001C5D06">
        <w:rPr>
          <w:rFonts w:ascii="Arial Narrow" w:hAnsi="Arial Narrow" w:cs="Times New Roman"/>
        </w:rPr>
        <w:t>d</w:t>
      </w:r>
      <w:r w:rsidRPr="00B057DC">
        <w:rPr>
          <w:rFonts w:ascii="Arial Narrow" w:hAnsi="Arial Narrow" w:cs="Times New Roman"/>
        </w:rPr>
        <w:t xml:space="preserve"> to </w:t>
      </w:r>
      <w:r w:rsidR="001C5D06">
        <w:rPr>
          <w:rFonts w:ascii="Arial Narrow" w:hAnsi="Arial Narrow" w:cs="Times New Roman"/>
        </w:rPr>
        <w:t xml:space="preserve">Managing Entity tracking and reporting of persons served in outpatient forensic mental health service settings and programs. </w:t>
      </w:r>
      <w:r w:rsidR="00F206CF" w:rsidRPr="00F206CF">
        <w:rPr>
          <w:rFonts w:ascii="Arial Narrow" w:hAnsi="Arial Narrow" w:cs="Times New Roman"/>
        </w:rPr>
        <w:t>CFOP 155-18 should be consulted for details</w:t>
      </w:r>
      <w:r w:rsidR="00F206CF">
        <w:rPr>
          <w:rFonts w:ascii="Arial Narrow" w:hAnsi="Arial Narrow" w:cs="Times New Roman"/>
        </w:rPr>
        <w:t xml:space="preserve"> regarding the implementation of these responsibilities. </w:t>
      </w:r>
    </w:p>
    <w:p w14:paraId="183076F0" w14:textId="77777777" w:rsidR="002D18A1" w:rsidRPr="005379BC" w:rsidRDefault="002D18A1" w:rsidP="00BC1E82">
      <w:pPr>
        <w:spacing w:before="120" w:after="120" w:line="240" w:lineRule="auto"/>
        <w:rPr>
          <w:rFonts w:ascii="Arial Narrow" w:hAnsi="Arial Narrow" w:cs="Times New Roman"/>
          <w:b/>
        </w:rPr>
      </w:pPr>
      <w:r w:rsidRPr="005379BC">
        <w:rPr>
          <w:rFonts w:ascii="Arial Narrow" w:hAnsi="Arial Narrow" w:cs="Times New Roman"/>
          <w:b/>
        </w:rPr>
        <w:t>Applicability</w:t>
      </w:r>
      <w:r>
        <w:rPr>
          <w:rFonts w:ascii="Arial Narrow" w:hAnsi="Arial Narrow" w:cs="Times New Roman"/>
          <w:b/>
        </w:rPr>
        <w:t>:</w:t>
      </w:r>
    </w:p>
    <w:p w14:paraId="164F86A5" w14:textId="77777777" w:rsidR="00F206CF" w:rsidRDefault="001C5D06" w:rsidP="00BC1E82">
      <w:pPr>
        <w:spacing w:before="120" w:after="12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These responsibilities pertain </w:t>
      </w:r>
      <w:r w:rsidR="00F206CF">
        <w:rPr>
          <w:rFonts w:ascii="Arial Narrow" w:hAnsi="Arial Narrow" w:cs="Times New Roman"/>
        </w:rPr>
        <w:t xml:space="preserve">only </w:t>
      </w:r>
      <w:r>
        <w:rPr>
          <w:rFonts w:ascii="Arial Narrow" w:hAnsi="Arial Narrow" w:cs="Times New Roman"/>
        </w:rPr>
        <w:t xml:space="preserve">to </w:t>
      </w:r>
      <w:r w:rsidR="007C02BE">
        <w:rPr>
          <w:rFonts w:ascii="Arial Narrow" w:hAnsi="Arial Narrow" w:cs="Times New Roman"/>
        </w:rPr>
        <w:t>adults or juveniles adjudicated as adults who are</w:t>
      </w:r>
      <w:bookmarkStart w:id="0" w:name="_GoBack"/>
      <w:bookmarkEnd w:id="0"/>
      <w:r w:rsidR="007C02BE">
        <w:rPr>
          <w:rFonts w:ascii="Arial Narrow" w:hAnsi="Arial Narrow" w:cs="Times New Roman"/>
        </w:rPr>
        <w:t xml:space="preserve"> charged with or at-risk of </w:t>
      </w:r>
      <w:r w:rsidRPr="001C5D06">
        <w:rPr>
          <w:rFonts w:ascii="Arial Narrow" w:hAnsi="Arial Narrow" w:cs="Times New Roman"/>
        </w:rPr>
        <w:t>being charged with a felony offense pursuant to Chapter 916, F</w:t>
      </w:r>
      <w:r w:rsidR="00F206CF">
        <w:rPr>
          <w:rFonts w:ascii="Arial Narrow" w:hAnsi="Arial Narrow" w:cs="Times New Roman"/>
        </w:rPr>
        <w:t>.S</w:t>
      </w:r>
      <w:r w:rsidRPr="001C5D06">
        <w:rPr>
          <w:rFonts w:ascii="Arial Narrow" w:hAnsi="Arial Narrow" w:cs="Times New Roman"/>
        </w:rPr>
        <w:t>.</w:t>
      </w:r>
      <w:r w:rsidR="00F206CF">
        <w:rPr>
          <w:rFonts w:ascii="Arial Narrow" w:hAnsi="Arial Narrow" w:cs="Times New Roman"/>
        </w:rPr>
        <w:t xml:space="preserve">, and who are referred to the Network Service Provider </w:t>
      </w:r>
      <w:r w:rsidR="007C02BE">
        <w:rPr>
          <w:rFonts w:ascii="Arial Narrow" w:hAnsi="Arial Narrow" w:cs="Times New Roman"/>
        </w:rPr>
        <w:t>subject to</w:t>
      </w:r>
      <w:r w:rsidR="00F206CF">
        <w:rPr>
          <w:rFonts w:ascii="Arial Narrow" w:hAnsi="Arial Narrow" w:cs="Times New Roman"/>
        </w:rPr>
        <w:t xml:space="preserve"> conditional release, pre-commitment diversion, or post-commitment diversion. </w:t>
      </w:r>
      <w:r w:rsidR="00F206CF" w:rsidRPr="00F206CF">
        <w:rPr>
          <w:rFonts w:ascii="Arial Narrow" w:hAnsi="Arial Narrow" w:cs="Times New Roman"/>
        </w:rPr>
        <w:t>These responsibilities do not pertain to individuals with only misdemeanor offenses.</w:t>
      </w:r>
      <w:r w:rsidR="00DD1C1B">
        <w:rPr>
          <w:rFonts w:ascii="Arial Narrow" w:hAnsi="Arial Narrow" w:cs="Times New Roman"/>
        </w:rPr>
        <w:t xml:space="preserve"> </w:t>
      </w:r>
      <w:r w:rsidR="00DD1C1B" w:rsidRPr="00DD1C1B">
        <w:rPr>
          <w:rFonts w:ascii="Arial Narrow" w:hAnsi="Arial Narrow" w:cs="Times New Roman"/>
        </w:rPr>
        <w:t>Individuals with non-violent felony offenses should be prioritized for conditional release and diversion.  A non-violent offense is a crime that does not involve a violent crime against a person and is not one of the violent or capital offenses found in s. 916.145, F.S.</w:t>
      </w:r>
    </w:p>
    <w:p w14:paraId="03ED16ED" w14:textId="77777777" w:rsidR="00F206CF" w:rsidRPr="00D6214C" w:rsidRDefault="00F206CF" w:rsidP="005379BC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5379BC">
        <w:rPr>
          <w:rFonts w:ascii="Arial Narrow" w:hAnsi="Arial Narrow" w:cs="Times New Roman"/>
        </w:rPr>
        <w:t xml:space="preserve">Pre-commitment diversion </w:t>
      </w:r>
      <w:r w:rsidR="000E4D0A">
        <w:rPr>
          <w:rFonts w:ascii="Arial Narrow" w:hAnsi="Arial Narrow" w:cs="Times New Roman"/>
        </w:rPr>
        <w:t xml:space="preserve">applies to </w:t>
      </w:r>
      <w:r w:rsidR="007C02BE" w:rsidRPr="005379BC">
        <w:rPr>
          <w:rFonts w:ascii="Arial Narrow" w:hAnsi="Arial Narrow" w:cs="Times New Roman"/>
        </w:rPr>
        <w:t>individuals</w:t>
      </w:r>
      <w:r w:rsidRPr="005379BC">
        <w:rPr>
          <w:rFonts w:ascii="Arial Narrow" w:hAnsi="Arial Narrow" w:cs="Times New Roman"/>
        </w:rPr>
        <w:t xml:space="preserve"> charged with a felony offense, booked into the county jail or local detention facility, identified as having a mental illness and at risk for commitment to a Forensic </w:t>
      </w:r>
      <w:r w:rsidR="008A14D0" w:rsidRPr="008A14D0">
        <w:rPr>
          <w:rFonts w:ascii="Arial Narrow" w:hAnsi="Arial Narrow" w:cs="Times New Roman"/>
        </w:rPr>
        <w:t xml:space="preserve">State </w:t>
      </w:r>
      <w:r w:rsidRPr="005379BC">
        <w:rPr>
          <w:rFonts w:ascii="Arial Narrow" w:hAnsi="Arial Narrow" w:cs="Times New Roman"/>
        </w:rPr>
        <w:t xml:space="preserve">Mental Health Treatment Facility (SMHTF). Under pre-commitment diversion, in lieu of commitment, the individual is referred, assigned or </w:t>
      </w:r>
      <w:r w:rsidR="007C02BE" w:rsidRPr="005379BC">
        <w:rPr>
          <w:rFonts w:ascii="Arial Narrow" w:hAnsi="Arial Narrow" w:cs="Times New Roman"/>
        </w:rPr>
        <w:t xml:space="preserve">otherwise </w:t>
      </w:r>
      <w:r w:rsidRPr="005379BC">
        <w:rPr>
          <w:rFonts w:ascii="Arial Narrow" w:hAnsi="Arial Narrow" w:cs="Times New Roman"/>
        </w:rPr>
        <w:t xml:space="preserve">ordered to </w:t>
      </w:r>
      <w:r w:rsidR="007C02BE" w:rsidRPr="005379BC">
        <w:rPr>
          <w:rFonts w:ascii="Arial Narrow" w:hAnsi="Arial Narrow" w:cs="Times New Roman"/>
        </w:rPr>
        <w:t xml:space="preserve">receive </w:t>
      </w:r>
      <w:r w:rsidRPr="005379BC">
        <w:rPr>
          <w:rFonts w:ascii="Arial Narrow" w:hAnsi="Arial Narrow" w:cs="Times New Roman"/>
        </w:rPr>
        <w:t>community based services</w:t>
      </w:r>
      <w:r w:rsidR="007C02BE" w:rsidRPr="005379BC">
        <w:rPr>
          <w:rFonts w:ascii="Arial Narrow" w:hAnsi="Arial Narrow" w:cs="Times New Roman"/>
        </w:rPr>
        <w:t xml:space="preserve">. Pre-commitment diversion occurs </w:t>
      </w:r>
      <w:r w:rsidRPr="005379BC">
        <w:rPr>
          <w:rFonts w:ascii="Arial Narrow" w:hAnsi="Arial Narrow" w:cs="Times New Roman"/>
        </w:rPr>
        <w:t xml:space="preserve">as a result of interventions by </w:t>
      </w:r>
      <w:r w:rsidR="007C02BE" w:rsidRPr="005379BC">
        <w:rPr>
          <w:rFonts w:ascii="Arial Narrow" w:hAnsi="Arial Narrow" w:cs="Times New Roman"/>
        </w:rPr>
        <w:t xml:space="preserve">a </w:t>
      </w:r>
      <w:r w:rsidRPr="005379BC">
        <w:rPr>
          <w:rFonts w:ascii="Arial Narrow" w:hAnsi="Arial Narrow" w:cs="Times New Roman"/>
        </w:rPr>
        <w:t xml:space="preserve">forensic specialist, forensic case manager, </w:t>
      </w:r>
      <w:r w:rsidR="007C02BE" w:rsidRPr="005379BC">
        <w:rPr>
          <w:rFonts w:ascii="Arial Narrow" w:hAnsi="Arial Narrow" w:cs="Times New Roman"/>
        </w:rPr>
        <w:t xml:space="preserve">the Managing Entity or </w:t>
      </w:r>
      <w:r w:rsidRPr="005379BC">
        <w:rPr>
          <w:rFonts w:ascii="Arial Narrow" w:hAnsi="Arial Narrow" w:cs="Times New Roman"/>
        </w:rPr>
        <w:t>other community mental health stakeholder</w:t>
      </w:r>
      <w:r w:rsidR="00565500">
        <w:rPr>
          <w:rFonts w:ascii="Arial Narrow" w:hAnsi="Arial Narrow" w:cs="Times New Roman"/>
        </w:rPr>
        <w:t xml:space="preserve"> </w:t>
      </w:r>
      <w:r w:rsidR="00565500" w:rsidRPr="00D6214C">
        <w:rPr>
          <w:rFonts w:ascii="Arial Narrow" w:hAnsi="Arial Narrow" w:cs="Times New Roman"/>
        </w:rPr>
        <w:t>and may include issuance of a conditional release order by the committing court.</w:t>
      </w:r>
    </w:p>
    <w:p w14:paraId="3995314E" w14:textId="77777777" w:rsidR="001C5D06" w:rsidRPr="0051766A" w:rsidRDefault="00F206CF" w:rsidP="0051766A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 Narrow" w:hAnsi="Arial Narrow" w:cs="Times New Roman"/>
        </w:rPr>
      </w:pPr>
      <w:r w:rsidRPr="0051766A">
        <w:rPr>
          <w:rFonts w:ascii="Arial Narrow" w:hAnsi="Arial Narrow" w:cs="Times New Roman"/>
        </w:rPr>
        <w:t xml:space="preserve">Post-commitment diversion applies </w:t>
      </w:r>
      <w:r w:rsidR="007C02BE" w:rsidRPr="0051766A">
        <w:rPr>
          <w:rFonts w:ascii="Arial Narrow" w:hAnsi="Arial Narrow" w:cs="Times New Roman"/>
        </w:rPr>
        <w:t xml:space="preserve">to individuals who have been adjudicated as incompetent to proceed or not guilty by reason of insanity pursuant to Chapter 916, F.S.  Under post-commitment diversion, the </w:t>
      </w:r>
      <w:r w:rsidRPr="0051766A">
        <w:rPr>
          <w:rFonts w:ascii="Arial Narrow" w:hAnsi="Arial Narrow" w:cs="Times New Roman"/>
        </w:rPr>
        <w:t xml:space="preserve">individual </w:t>
      </w:r>
      <w:r w:rsidR="007C02BE" w:rsidRPr="0051766A">
        <w:rPr>
          <w:rFonts w:ascii="Arial Narrow" w:hAnsi="Arial Narrow" w:cs="Times New Roman"/>
        </w:rPr>
        <w:t>is commi</w:t>
      </w:r>
      <w:r w:rsidRPr="0051766A">
        <w:rPr>
          <w:rFonts w:ascii="Arial Narrow" w:hAnsi="Arial Narrow" w:cs="Times New Roman"/>
        </w:rPr>
        <w:t xml:space="preserve">tted to </w:t>
      </w:r>
      <w:r w:rsidR="007C02BE" w:rsidRPr="0051766A">
        <w:rPr>
          <w:rFonts w:ascii="Arial Narrow" w:hAnsi="Arial Narrow" w:cs="Times New Roman"/>
        </w:rPr>
        <w:t xml:space="preserve">the Department, but </w:t>
      </w:r>
      <w:r w:rsidRPr="0051766A">
        <w:rPr>
          <w:rFonts w:ascii="Arial Narrow" w:hAnsi="Arial Narrow" w:cs="Times New Roman"/>
        </w:rPr>
        <w:t xml:space="preserve">permitted by the committing court to forego admission and reside in a less restrictive environment.  </w:t>
      </w:r>
      <w:r w:rsidR="008214A5" w:rsidRPr="0051766A">
        <w:rPr>
          <w:rFonts w:ascii="Arial Narrow" w:hAnsi="Arial Narrow" w:cs="Times New Roman"/>
        </w:rPr>
        <w:t xml:space="preserve">The </w:t>
      </w:r>
      <w:r w:rsidR="008A14D0" w:rsidRPr="0051766A">
        <w:rPr>
          <w:rFonts w:ascii="Arial Narrow" w:hAnsi="Arial Narrow" w:cs="Times New Roman"/>
        </w:rPr>
        <w:t>committing court vacate</w:t>
      </w:r>
      <w:r w:rsidR="000E4D0A" w:rsidRPr="0051766A">
        <w:rPr>
          <w:rFonts w:ascii="Arial Narrow" w:hAnsi="Arial Narrow" w:cs="Times New Roman"/>
        </w:rPr>
        <w:t>s</w:t>
      </w:r>
      <w:r w:rsidR="008A14D0" w:rsidRPr="0051766A">
        <w:rPr>
          <w:rFonts w:ascii="Arial Narrow" w:hAnsi="Arial Narrow" w:cs="Times New Roman"/>
        </w:rPr>
        <w:t xml:space="preserve"> </w:t>
      </w:r>
      <w:r w:rsidRPr="0051766A">
        <w:rPr>
          <w:rFonts w:ascii="Arial Narrow" w:hAnsi="Arial Narrow" w:cs="Times New Roman"/>
        </w:rPr>
        <w:t xml:space="preserve">the order of commitment </w:t>
      </w:r>
      <w:r w:rsidR="007C02BE" w:rsidRPr="0051766A">
        <w:rPr>
          <w:rFonts w:ascii="Arial Narrow" w:hAnsi="Arial Narrow" w:cs="Times New Roman"/>
        </w:rPr>
        <w:t xml:space="preserve">and </w:t>
      </w:r>
      <w:r w:rsidR="008214A5" w:rsidRPr="0051766A">
        <w:rPr>
          <w:rFonts w:ascii="Arial Narrow" w:hAnsi="Arial Narrow" w:cs="Times New Roman"/>
        </w:rPr>
        <w:t xml:space="preserve">typically </w:t>
      </w:r>
      <w:r w:rsidR="008A14D0" w:rsidRPr="0051766A">
        <w:rPr>
          <w:rFonts w:ascii="Arial Narrow" w:hAnsi="Arial Narrow" w:cs="Times New Roman"/>
        </w:rPr>
        <w:t xml:space="preserve">issues </w:t>
      </w:r>
      <w:r w:rsidRPr="0051766A">
        <w:rPr>
          <w:rFonts w:ascii="Arial Narrow" w:hAnsi="Arial Narrow" w:cs="Times New Roman"/>
        </w:rPr>
        <w:t>a new order conditionally releasing the individual to appropriate community based services</w:t>
      </w:r>
      <w:r w:rsidR="008A14D0" w:rsidRPr="0051766A">
        <w:rPr>
          <w:rFonts w:ascii="Arial Narrow" w:hAnsi="Arial Narrow" w:cs="Times New Roman"/>
        </w:rPr>
        <w:t>.  This diversion i</w:t>
      </w:r>
      <w:r w:rsidRPr="0051766A">
        <w:rPr>
          <w:rFonts w:ascii="Arial Narrow" w:hAnsi="Arial Narrow" w:cs="Times New Roman"/>
        </w:rPr>
        <w:t xml:space="preserve">s a result of interventions by </w:t>
      </w:r>
      <w:r w:rsidR="008A14D0" w:rsidRPr="0051766A">
        <w:rPr>
          <w:rFonts w:ascii="Arial Narrow" w:hAnsi="Arial Narrow" w:cs="Times New Roman"/>
        </w:rPr>
        <w:t xml:space="preserve">a </w:t>
      </w:r>
      <w:r w:rsidRPr="0051766A">
        <w:rPr>
          <w:rFonts w:ascii="Arial Narrow" w:hAnsi="Arial Narrow" w:cs="Times New Roman"/>
        </w:rPr>
        <w:t>Forensic Specialist</w:t>
      </w:r>
      <w:r w:rsidR="008A14D0" w:rsidRPr="0051766A">
        <w:rPr>
          <w:rFonts w:ascii="Arial Narrow" w:hAnsi="Arial Narrow" w:cs="Times New Roman"/>
        </w:rPr>
        <w:t xml:space="preserve">, </w:t>
      </w:r>
      <w:r w:rsidRPr="0051766A">
        <w:rPr>
          <w:rFonts w:ascii="Arial Narrow" w:hAnsi="Arial Narrow" w:cs="Times New Roman"/>
        </w:rPr>
        <w:t xml:space="preserve">Forensic Case Manager, </w:t>
      </w:r>
      <w:r w:rsidR="008A14D0" w:rsidRPr="0051766A">
        <w:rPr>
          <w:rFonts w:ascii="Arial Narrow" w:hAnsi="Arial Narrow" w:cs="Times New Roman"/>
        </w:rPr>
        <w:t xml:space="preserve">or representative of the Department, a Managing Entity or </w:t>
      </w:r>
      <w:r w:rsidRPr="0051766A">
        <w:rPr>
          <w:rFonts w:ascii="Arial Narrow" w:hAnsi="Arial Narrow" w:cs="Times New Roman"/>
        </w:rPr>
        <w:t xml:space="preserve">community mental health stakeholder prior to admission to a </w:t>
      </w:r>
      <w:r w:rsidR="008A14D0" w:rsidRPr="0051766A">
        <w:rPr>
          <w:rFonts w:ascii="Arial Narrow" w:hAnsi="Arial Narrow" w:cs="Times New Roman"/>
        </w:rPr>
        <w:t>Forensic SMHTF.</w:t>
      </w:r>
    </w:p>
    <w:p w14:paraId="2B914173" w14:textId="77777777" w:rsidR="008A14D0" w:rsidRPr="00B057DC" w:rsidRDefault="008A14D0" w:rsidP="008A14D0">
      <w:pPr>
        <w:keepNext/>
        <w:spacing w:before="120" w:after="120" w:line="240" w:lineRule="auto"/>
        <w:rPr>
          <w:rFonts w:ascii="Arial Narrow" w:hAnsi="Arial Narrow" w:cs="Times New Roman"/>
          <w:b/>
        </w:rPr>
      </w:pPr>
      <w:r w:rsidRPr="00B057DC">
        <w:rPr>
          <w:rFonts w:ascii="Arial Narrow" w:hAnsi="Arial Narrow" w:cs="Times New Roman"/>
          <w:b/>
        </w:rPr>
        <w:t xml:space="preserve">Forensic Coordinator </w:t>
      </w:r>
      <w:r>
        <w:rPr>
          <w:rFonts w:ascii="Arial Narrow" w:hAnsi="Arial Narrow" w:cs="Times New Roman"/>
          <w:b/>
        </w:rPr>
        <w:t>Responsibilities</w:t>
      </w:r>
      <w:r w:rsidRPr="00B057DC">
        <w:rPr>
          <w:rFonts w:ascii="Arial Narrow" w:hAnsi="Arial Narrow" w:cs="Times New Roman"/>
          <w:b/>
        </w:rPr>
        <w:t>:</w:t>
      </w:r>
    </w:p>
    <w:p w14:paraId="7E889085" w14:textId="77777777" w:rsidR="001C5D06" w:rsidRDefault="001C5D06" w:rsidP="001C5D06">
      <w:pPr>
        <w:spacing w:before="120" w:after="12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Managing Entity shall subcontract with one or more Network Service Provider</w:t>
      </w:r>
      <w:r w:rsidR="002D18A1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 xml:space="preserve"> to provide Forensic Coordinator services within the Managing Entity service area. </w:t>
      </w:r>
      <w:r w:rsidR="008A14D0">
        <w:rPr>
          <w:rFonts w:ascii="Arial Narrow" w:hAnsi="Arial Narrow" w:cs="Times New Roman"/>
        </w:rPr>
        <w:t xml:space="preserve">The Forensic Coordinator shall be responsible for </w:t>
      </w:r>
      <w:r w:rsidR="002D18A1">
        <w:rPr>
          <w:rFonts w:ascii="Arial Narrow" w:hAnsi="Arial Narrow" w:cs="Times New Roman"/>
        </w:rPr>
        <w:t>tracking and reporting</w:t>
      </w:r>
      <w:r w:rsidR="00DD1C1B">
        <w:rPr>
          <w:rFonts w:ascii="Arial Narrow" w:hAnsi="Arial Narrow" w:cs="Times New Roman"/>
        </w:rPr>
        <w:t xml:space="preserve"> the following data</w:t>
      </w:r>
      <w:r w:rsidR="002D18A1">
        <w:rPr>
          <w:rFonts w:ascii="Arial Narrow" w:hAnsi="Arial Narrow" w:cs="Times New Roman"/>
        </w:rPr>
        <w:t>:</w:t>
      </w:r>
    </w:p>
    <w:p w14:paraId="581D43EA" w14:textId="77777777" w:rsidR="00AC00F8" w:rsidRPr="00B057DC" w:rsidRDefault="002D18A1" w:rsidP="00BC1E8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</w:t>
      </w:r>
      <w:r w:rsidR="003C2721" w:rsidRPr="00B057DC">
        <w:rPr>
          <w:rFonts w:ascii="Arial Narrow" w:hAnsi="Arial Narrow" w:cs="Times New Roman"/>
        </w:rPr>
        <w:t xml:space="preserve">he release plan status of all forensic individuals referred by </w:t>
      </w:r>
      <w:r w:rsidR="008A14D0">
        <w:rPr>
          <w:rFonts w:ascii="Arial Narrow" w:hAnsi="Arial Narrow" w:cs="Times New Roman"/>
        </w:rPr>
        <w:t>all F</w:t>
      </w:r>
      <w:r w:rsidR="003C2721" w:rsidRPr="00B057DC">
        <w:rPr>
          <w:rFonts w:ascii="Arial Narrow" w:hAnsi="Arial Narrow" w:cs="Times New Roman"/>
        </w:rPr>
        <w:t xml:space="preserve">orensic or </w:t>
      </w:r>
      <w:r w:rsidR="008A14D0">
        <w:rPr>
          <w:rFonts w:ascii="Arial Narrow" w:hAnsi="Arial Narrow" w:cs="Times New Roman"/>
        </w:rPr>
        <w:t>C</w:t>
      </w:r>
      <w:r w:rsidR="003C2721" w:rsidRPr="00B057DC">
        <w:rPr>
          <w:rFonts w:ascii="Arial Narrow" w:hAnsi="Arial Narrow" w:cs="Times New Roman"/>
        </w:rPr>
        <w:t xml:space="preserve">ivil </w:t>
      </w:r>
      <w:r w:rsidR="008A14D0">
        <w:rPr>
          <w:rFonts w:ascii="Arial Narrow" w:hAnsi="Arial Narrow" w:cs="Times New Roman"/>
        </w:rPr>
        <w:t>SMHTFs;</w:t>
      </w:r>
    </w:p>
    <w:p w14:paraId="75C33CC0" w14:textId="77777777" w:rsidR="002D18A1" w:rsidRPr="000E4D0A" w:rsidRDefault="002D18A1" w:rsidP="005379BC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</w:t>
      </w:r>
      <w:r w:rsidRPr="002D18A1">
        <w:rPr>
          <w:rFonts w:ascii="Arial Narrow" w:hAnsi="Arial Narrow" w:cs="Times New Roman"/>
        </w:rPr>
        <w:t xml:space="preserve">ll client level data to ensure that any legislative requests for information can be responded to in a reasonable amount of time.  </w:t>
      </w:r>
    </w:p>
    <w:p w14:paraId="5DFE7C4C" w14:textId="77777777" w:rsidR="00AC00F8" w:rsidRPr="002D18A1" w:rsidRDefault="002D18A1" w:rsidP="002D18A1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</w:t>
      </w:r>
      <w:r w:rsidR="003C2721" w:rsidRPr="002D18A1">
        <w:rPr>
          <w:rFonts w:ascii="Arial Narrow" w:hAnsi="Arial Narrow" w:cs="Times New Roman"/>
        </w:rPr>
        <w:t xml:space="preserve">he following </w:t>
      </w:r>
      <w:r>
        <w:rPr>
          <w:rFonts w:ascii="Arial Narrow" w:hAnsi="Arial Narrow" w:cs="Times New Roman"/>
        </w:rPr>
        <w:t xml:space="preserve">summary </w:t>
      </w:r>
      <w:r w:rsidR="008A14D0" w:rsidRPr="002D18A1">
        <w:rPr>
          <w:rFonts w:ascii="Arial Narrow" w:hAnsi="Arial Narrow" w:cs="Times New Roman"/>
        </w:rPr>
        <w:t>outputs</w:t>
      </w:r>
      <w:r w:rsidR="003C2721" w:rsidRPr="002D18A1">
        <w:rPr>
          <w:rFonts w:ascii="Arial Narrow" w:hAnsi="Arial Narrow" w:cs="Times New Roman"/>
        </w:rPr>
        <w:t>:</w:t>
      </w:r>
    </w:p>
    <w:p w14:paraId="06F354D7" w14:textId="77777777" w:rsidR="008A14D0" w:rsidRPr="005379BC" w:rsidRDefault="008A14D0" w:rsidP="00BC1E82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lastRenderedPageBreak/>
        <w:t xml:space="preserve">The number of individuals with forensic involvement served; </w:t>
      </w:r>
    </w:p>
    <w:p w14:paraId="400A7ECB" w14:textId="77777777" w:rsidR="00AC00F8" w:rsidRPr="00B057DC" w:rsidRDefault="008A14D0" w:rsidP="00BC1E82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</w:rPr>
        <w:t>The n</w:t>
      </w:r>
      <w:r w:rsidR="00CF6823" w:rsidRPr="00B057DC">
        <w:rPr>
          <w:rFonts w:ascii="Arial Narrow" w:hAnsi="Arial Narrow" w:cs="Times New Roman"/>
        </w:rPr>
        <w:t xml:space="preserve">umber of individuals </w:t>
      </w:r>
      <w:r>
        <w:rPr>
          <w:rFonts w:ascii="Arial Narrow" w:hAnsi="Arial Narrow" w:cs="Times New Roman"/>
        </w:rPr>
        <w:t>served in pre-commitment diversion;</w:t>
      </w:r>
      <w:r w:rsidR="003C2721" w:rsidRPr="00B057DC">
        <w:rPr>
          <w:rFonts w:ascii="Arial Narrow" w:hAnsi="Arial Narrow"/>
        </w:rPr>
        <w:tab/>
      </w:r>
    </w:p>
    <w:p w14:paraId="6DAEFE8C" w14:textId="77777777" w:rsidR="002D18A1" w:rsidRPr="005379BC" w:rsidRDefault="008A14D0" w:rsidP="008A14D0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2D18A1">
        <w:rPr>
          <w:rFonts w:ascii="Arial Narrow" w:hAnsi="Arial Narrow"/>
        </w:rPr>
        <w:t>The n</w:t>
      </w:r>
      <w:r w:rsidR="003C2721" w:rsidRPr="002D18A1">
        <w:rPr>
          <w:rFonts w:ascii="Arial Narrow" w:hAnsi="Arial Narrow"/>
        </w:rPr>
        <w:t xml:space="preserve">umber of individuals </w:t>
      </w:r>
      <w:r w:rsidRPr="002D18A1">
        <w:rPr>
          <w:rFonts w:ascii="Arial Narrow" w:hAnsi="Arial Narrow"/>
        </w:rPr>
        <w:t>served in post-commitment diversion</w:t>
      </w:r>
      <w:r w:rsidR="003C2721" w:rsidRPr="002D18A1">
        <w:rPr>
          <w:rFonts w:ascii="Arial Narrow" w:hAnsi="Arial Narrow"/>
        </w:rPr>
        <w:t>;</w:t>
      </w:r>
      <w:r w:rsidR="002D18A1">
        <w:rPr>
          <w:rFonts w:ascii="Arial Narrow" w:hAnsi="Arial Narrow"/>
        </w:rPr>
        <w:t xml:space="preserve"> and</w:t>
      </w:r>
    </w:p>
    <w:p w14:paraId="6D6821AA" w14:textId="77777777" w:rsidR="002D18A1" w:rsidRDefault="008A14D0" w:rsidP="005379BC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rial Narrow" w:hAnsi="Arial Narrow"/>
        </w:rPr>
      </w:pPr>
      <w:r w:rsidRPr="005379BC">
        <w:rPr>
          <w:rFonts w:ascii="Arial Narrow" w:hAnsi="Arial Narrow"/>
        </w:rPr>
        <w:t>The n</w:t>
      </w:r>
      <w:r w:rsidR="0099240F" w:rsidRPr="005379BC">
        <w:rPr>
          <w:rFonts w:ascii="Arial Narrow" w:hAnsi="Arial Narrow"/>
        </w:rPr>
        <w:t xml:space="preserve">umber of individuals </w:t>
      </w:r>
      <w:r w:rsidRPr="005379BC">
        <w:rPr>
          <w:rFonts w:ascii="Arial Narrow" w:hAnsi="Arial Narrow"/>
        </w:rPr>
        <w:t xml:space="preserve">served in either pre-commitment or post-commitment </w:t>
      </w:r>
      <w:r w:rsidR="002D18A1" w:rsidRPr="005379BC">
        <w:rPr>
          <w:rFonts w:ascii="Arial Narrow" w:hAnsi="Arial Narrow"/>
        </w:rPr>
        <w:t xml:space="preserve">diversion </w:t>
      </w:r>
      <w:r w:rsidRPr="005379BC">
        <w:rPr>
          <w:rFonts w:ascii="Arial Narrow" w:hAnsi="Arial Narrow"/>
        </w:rPr>
        <w:t>w</w:t>
      </w:r>
      <w:r w:rsidR="002D18A1" w:rsidRPr="005379BC">
        <w:rPr>
          <w:rFonts w:ascii="Arial Narrow" w:hAnsi="Arial Narrow"/>
        </w:rPr>
        <w:t>ith</w:t>
      </w:r>
      <w:r w:rsidRPr="005379BC">
        <w:rPr>
          <w:rFonts w:ascii="Arial Narrow" w:hAnsi="Arial Narrow"/>
        </w:rPr>
        <w:t xml:space="preserve"> </w:t>
      </w:r>
      <w:r w:rsidR="0099240F" w:rsidRPr="005379BC">
        <w:rPr>
          <w:rFonts w:ascii="Arial Narrow" w:hAnsi="Arial Narrow"/>
        </w:rPr>
        <w:t xml:space="preserve">non-violent offenses that do not </w:t>
      </w:r>
      <w:r w:rsidRPr="005379BC">
        <w:rPr>
          <w:rFonts w:ascii="Arial Narrow" w:hAnsi="Arial Narrow"/>
        </w:rPr>
        <w:t xml:space="preserve">include </w:t>
      </w:r>
      <w:r w:rsidR="0099240F" w:rsidRPr="005379BC">
        <w:rPr>
          <w:rFonts w:ascii="Arial Narrow" w:hAnsi="Arial Narrow"/>
        </w:rPr>
        <w:t>any of the offenses listed in s. 916.145, F.S.</w:t>
      </w:r>
      <w:r w:rsidR="00E5702E" w:rsidRPr="005379BC">
        <w:rPr>
          <w:rFonts w:ascii="Arial Narrow" w:hAnsi="Arial Narrow"/>
        </w:rPr>
        <w:t xml:space="preserve"> </w:t>
      </w:r>
    </w:p>
    <w:p w14:paraId="4EE06AAC" w14:textId="77777777" w:rsidR="00163B02" w:rsidRPr="002D18A1" w:rsidRDefault="002D18A1" w:rsidP="005379BC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63B02" w:rsidRPr="005379BC">
        <w:rPr>
          <w:rFonts w:ascii="Arial Narrow" w:hAnsi="Arial Narrow"/>
        </w:rPr>
        <w:t xml:space="preserve">he number of </w:t>
      </w:r>
      <w:r>
        <w:rPr>
          <w:rFonts w:ascii="Arial Narrow" w:hAnsi="Arial Narrow"/>
        </w:rPr>
        <w:t xml:space="preserve">individuals served </w:t>
      </w:r>
      <w:r w:rsidR="00163B02" w:rsidRPr="005379BC">
        <w:rPr>
          <w:rFonts w:ascii="Arial Narrow" w:hAnsi="Arial Narrow"/>
        </w:rPr>
        <w:t>on conditional release</w:t>
      </w:r>
      <w:r>
        <w:rPr>
          <w:rFonts w:ascii="Arial Narrow" w:hAnsi="Arial Narrow"/>
        </w:rPr>
        <w:t xml:space="preserve"> in each of the following </w:t>
      </w:r>
      <w:r w:rsidR="00163B02" w:rsidRPr="005379BC">
        <w:rPr>
          <w:rFonts w:ascii="Arial Narrow" w:hAnsi="Arial Narrow"/>
        </w:rPr>
        <w:t>classifi</w:t>
      </w:r>
      <w:r>
        <w:rPr>
          <w:rFonts w:ascii="Arial Narrow" w:hAnsi="Arial Narrow"/>
        </w:rPr>
        <w:t>cations</w:t>
      </w:r>
      <w:r w:rsidR="00163B02" w:rsidRPr="005379BC">
        <w:rPr>
          <w:rFonts w:ascii="Arial Narrow" w:hAnsi="Arial Narrow"/>
        </w:rPr>
        <w:t>:</w:t>
      </w:r>
    </w:p>
    <w:p w14:paraId="12692254" w14:textId="77777777" w:rsidR="00163B02" w:rsidRPr="00B057DC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>Number of Incompetent to Proceed;</w:t>
      </w:r>
    </w:p>
    <w:p w14:paraId="66569BD2" w14:textId="77777777" w:rsidR="00163B02" w:rsidRPr="00B057DC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>Number of Not Guilty by Reason of Insanity;</w:t>
      </w:r>
    </w:p>
    <w:p w14:paraId="23A4C70B" w14:textId="77777777" w:rsidR="00163B02" w:rsidRPr="00B057DC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 xml:space="preserve">Number by type of placement or program (home, ALF, Residential Level 1, etc.); </w:t>
      </w:r>
    </w:p>
    <w:p w14:paraId="0374BF3A" w14:textId="77777777" w:rsidR="00163B02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 xml:space="preserve">Number by </w:t>
      </w:r>
      <w:r w:rsidRPr="00C0277D">
        <w:rPr>
          <w:rFonts w:ascii="Arial Narrow" w:hAnsi="Arial Narrow" w:cs="Times New Roman"/>
        </w:rPr>
        <w:t>circuit</w:t>
      </w:r>
      <w:r w:rsidR="0079603B" w:rsidRPr="00C0277D">
        <w:rPr>
          <w:rFonts w:ascii="Arial Narrow" w:hAnsi="Arial Narrow" w:cs="Times New Roman"/>
        </w:rPr>
        <w:t xml:space="preserve"> </w:t>
      </w:r>
      <w:r w:rsidR="0079603B">
        <w:rPr>
          <w:rFonts w:ascii="Arial Narrow" w:hAnsi="Arial Narrow" w:cs="Times New Roman"/>
        </w:rPr>
        <w:t>and</w:t>
      </w:r>
      <w:r w:rsidRPr="00B057DC">
        <w:rPr>
          <w:rFonts w:ascii="Arial Narrow" w:hAnsi="Arial Narrow" w:cs="Times New Roman"/>
        </w:rPr>
        <w:t xml:space="preserve"> </w:t>
      </w:r>
      <w:r w:rsidR="00DF25C2">
        <w:rPr>
          <w:rFonts w:ascii="Arial Narrow" w:hAnsi="Arial Narrow" w:cs="Times New Roman"/>
        </w:rPr>
        <w:t>county</w:t>
      </w:r>
      <w:r w:rsidR="002D18A1">
        <w:rPr>
          <w:rFonts w:ascii="Arial Narrow" w:hAnsi="Arial Narrow" w:cs="Times New Roman"/>
        </w:rPr>
        <w:t>;</w:t>
      </w:r>
    </w:p>
    <w:p w14:paraId="30D8B976" w14:textId="77777777" w:rsidR="00163B02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 xml:space="preserve">Number </w:t>
      </w:r>
      <w:r w:rsidR="00DD1C1B">
        <w:rPr>
          <w:rFonts w:ascii="Arial Narrow" w:hAnsi="Arial Narrow" w:cs="Times New Roman"/>
        </w:rPr>
        <w:t>w</w:t>
      </w:r>
      <w:r w:rsidRPr="00B057DC">
        <w:rPr>
          <w:rFonts w:ascii="Arial Narrow" w:hAnsi="Arial Narrow" w:cs="Times New Roman"/>
        </w:rPr>
        <w:t>ho were restored to competency</w:t>
      </w:r>
      <w:r w:rsidR="00DD1C1B">
        <w:rPr>
          <w:rFonts w:ascii="Arial Narrow" w:hAnsi="Arial Narrow" w:cs="Times New Roman"/>
        </w:rPr>
        <w:t>; and</w:t>
      </w:r>
      <w:r w:rsidRPr="00B057DC">
        <w:rPr>
          <w:rFonts w:ascii="Arial Narrow" w:hAnsi="Arial Narrow" w:cs="Times New Roman"/>
        </w:rPr>
        <w:t xml:space="preserve"> </w:t>
      </w:r>
    </w:p>
    <w:p w14:paraId="054FAFD9" w14:textId="77777777" w:rsidR="00163B02" w:rsidRDefault="00163B02" w:rsidP="005379BC">
      <w:pPr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ind w:left="2250" w:hanging="270"/>
        <w:textAlignment w:val="baseline"/>
        <w:rPr>
          <w:rFonts w:ascii="Arial Narrow" w:hAnsi="Arial Narrow" w:cs="Times New Roman"/>
        </w:rPr>
      </w:pPr>
      <w:r w:rsidRPr="00B057DC">
        <w:rPr>
          <w:rFonts w:ascii="Arial Narrow" w:hAnsi="Arial Narrow" w:cs="Times New Roman"/>
        </w:rPr>
        <w:t>Number of those who were determined non-restorable.</w:t>
      </w:r>
    </w:p>
    <w:p w14:paraId="5D19D259" w14:textId="77777777" w:rsidR="00C53ECE" w:rsidRPr="00C53ECE" w:rsidRDefault="00CD1F35" w:rsidP="00C53ECE">
      <w:pPr>
        <w:numPr>
          <w:ilvl w:val="1"/>
          <w:numId w:val="16"/>
        </w:numPr>
        <w:tabs>
          <w:tab w:val="left" w:pos="81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Number of individuals with non-violent offenses that do not have any of the offenses listed in s.</w:t>
      </w:r>
      <w:r w:rsidR="00DD1C1B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916.145,</w:t>
      </w:r>
      <w:r w:rsidR="00DD1C1B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F.S. and are discharged on conditional release by the committing court. The ME should ensure that such individuals residing in </w:t>
      </w:r>
      <w:r w:rsidR="000E4D0A">
        <w:rPr>
          <w:rFonts w:ascii="Arial Narrow" w:hAnsi="Arial Narrow" w:cs="Times New Roman"/>
        </w:rPr>
        <w:t>SMHTFs</w:t>
      </w:r>
      <w:r>
        <w:rPr>
          <w:rFonts w:ascii="Arial Narrow" w:hAnsi="Arial Narrow" w:cs="Times New Roman"/>
        </w:rPr>
        <w:t xml:space="preserve"> are prioritized for conditional release planning and discharge.</w:t>
      </w:r>
    </w:p>
    <w:p w14:paraId="582D1D6A" w14:textId="77777777" w:rsidR="00CF3E63" w:rsidRPr="009D5B30" w:rsidRDefault="00CF3E63" w:rsidP="00DD1C1B">
      <w:pPr>
        <w:spacing w:before="120" w:after="120" w:line="240" w:lineRule="auto"/>
        <w:rPr>
          <w:rFonts w:ascii="Arial Narrow" w:hAnsi="Arial Narrow" w:cs="Times New Roman"/>
          <w:b/>
        </w:rPr>
      </w:pPr>
      <w:r w:rsidRPr="009D5B30">
        <w:rPr>
          <w:rFonts w:ascii="Arial Narrow" w:hAnsi="Arial Narrow" w:cs="Times New Roman"/>
          <w:b/>
        </w:rPr>
        <w:t xml:space="preserve">Reporting Requirements: </w:t>
      </w:r>
    </w:p>
    <w:p w14:paraId="1F17C695" w14:textId="2F00080D" w:rsidR="00CF3E63" w:rsidRDefault="00CF3E63" w:rsidP="00DD1C1B">
      <w:pPr>
        <w:spacing w:before="120" w:after="120" w:line="240" w:lineRule="auto"/>
        <w:rPr>
          <w:rFonts w:ascii="Arial Narrow" w:hAnsi="Arial Narrow" w:cs="Times New Roman"/>
        </w:rPr>
      </w:pPr>
      <w:r w:rsidRPr="00CF3E63">
        <w:rPr>
          <w:rFonts w:ascii="Arial Narrow" w:hAnsi="Arial Narrow" w:cs="Times New Roman"/>
        </w:rPr>
        <w:t>The Managing Entity shall submit the</w:t>
      </w:r>
      <w:r>
        <w:rPr>
          <w:rFonts w:ascii="Arial Narrow" w:hAnsi="Arial Narrow" w:cs="Times New Roman"/>
        </w:rPr>
        <w:t xml:space="preserve"> following</w:t>
      </w:r>
      <w:r w:rsidRPr="00CF3E63">
        <w:rPr>
          <w:rFonts w:ascii="Arial Narrow" w:hAnsi="Arial Narrow" w:cs="Times New Roman"/>
        </w:rPr>
        <w:t xml:space="preserve"> reports to the Department’s</w:t>
      </w:r>
      <w:r>
        <w:rPr>
          <w:rFonts w:ascii="Arial Narrow" w:hAnsi="Arial Narrow" w:cs="Times New Roman"/>
        </w:rPr>
        <w:t xml:space="preserve"> Contract Manager and </w:t>
      </w:r>
      <w:r w:rsidR="000217E3">
        <w:rPr>
          <w:rFonts w:ascii="Arial Narrow" w:hAnsi="Arial Narrow" w:cs="Times New Roman"/>
        </w:rPr>
        <w:t xml:space="preserve">to the </w:t>
      </w:r>
      <w:r>
        <w:rPr>
          <w:rFonts w:ascii="Arial Narrow" w:hAnsi="Arial Narrow" w:cs="Times New Roman"/>
        </w:rPr>
        <w:t xml:space="preserve">Office of State </w:t>
      </w:r>
      <w:r w:rsidRPr="00CF3E63">
        <w:rPr>
          <w:rFonts w:ascii="Arial Narrow" w:hAnsi="Arial Narrow" w:cs="Times New Roman"/>
        </w:rPr>
        <w:t>Mental Health Treatment Facilities</w:t>
      </w:r>
      <w:r>
        <w:rPr>
          <w:rFonts w:ascii="Arial Narrow" w:hAnsi="Arial Narrow" w:cs="Times New Roman"/>
        </w:rPr>
        <w:t xml:space="preserve"> no later than the 15</w:t>
      </w:r>
      <w:r w:rsidRPr="009D5B30">
        <w:rPr>
          <w:rFonts w:ascii="Arial Narrow" w:hAnsi="Arial Narrow" w:cs="Times New Roman"/>
          <w:vertAlign w:val="superscript"/>
        </w:rPr>
        <w:t>th</w:t>
      </w:r>
      <w:r>
        <w:rPr>
          <w:rFonts w:ascii="Arial Narrow" w:hAnsi="Arial Narrow" w:cs="Times New Roman"/>
        </w:rPr>
        <w:t xml:space="preserve"> of each month.</w:t>
      </w:r>
    </w:p>
    <w:p w14:paraId="6B71E49E" w14:textId="4FD2A74A" w:rsidR="000217E3" w:rsidRPr="009D5B30" w:rsidRDefault="00223BB4" w:rsidP="009D5B30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/>
        </w:rPr>
      </w:pPr>
      <w:r w:rsidRPr="009D5B30">
        <w:rPr>
          <w:rFonts w:ascii="Arial Narrow" w:hAnsi="Arial Narrow" w:cs="Times New Roman"/>
          <w:b/>
        </w:rPr>
        <w:t xml:space="preserve">Template 22 – </w:t>
      </w:r>
      <w:r w:rsidR="007C31B9">
        <w:rPr>
          <w:rFonts w:ascii="Arial Narrow" w:hAnsi="Arial Narrow" w:cs="Times New Roman"/>
          <w:b/>
        </w:rPr>
        <w:t>Conditional Release</w:t>
      </w:r>
      <w:r w:rsidRPr="009D5B30">
        <w:rPr>
          <w:rFonts w:ascii="Arial Narrow" w:hAnsi="Arial Narrow" w:cs="Times New Roman"/>
          <w:b/>
        </w:rPr>
        <w:t xml:space="preserve"> Report</w:t>
      </w:r>
      <w:r w:rsidR="000217E3">
        <w:rPr>
          <w:rFonts w:ascii="Arial Narrow" w:hAnsi="Arial Narrow" w:cs="Times New Roman"/>
          <w:b/>
        </w:rPr>
        <w:t>,</w:t>
      </w:r>
    </w:p>
    <w:p w14:paraId="0DA19875" w14:textId="6FDE8A66" w:rsidR="000217E3" w:rsidRPr="009D5B30" w:rsidRDefault="00223BB4" w:rsidP="009D5B30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/>
        </w:rPr>
      </w:pPr>
      <w:r w:rsidRPr="009D5B30">
        <w:rPr>
          <w:rFonts w:ascii="Arial Narrow" w:hAnsi="Arial Narrow" w:cs="Times New Roman"/>
          <w:b/>
        </w:rPr>
        <w:t>Template 23 –</w:t>
      </w:r>
      <w:r w:rsidR="007C31B9">
        <w:rPr>
          <w:rFonts w:ascii="Arial Narrow" w:hAnsi="Arial Narrow" w:cs="Times New Roman"/>
          <w:b/>
        </w:rPr>
        <w:t xml:space="preserve"> Forensic Diversion</w:t>
      </w:r>
      <w:r w:rsidRPr="009D5B30">
        <w:rPr>
          <w:rFonts w:ascii="Arial Narrow" w:hAnsi="Arial Narrow" w:cs="Times New Roman"/>
          <w:b/>
        </w:rPr>
        <w:t xml:space="preserve"> Report</w:t>
      </w:r>
      <w:r w:rsidR="000217E3">
        <w:rPr>
          <w:rFonts w:ascii="Arial Narrow" w:hAnsi="Arial Narrow" w:cs="Times New Roman"/>
        </w:rPr>
        <w:t xml:space="preserve">, </w:t>
      </w:r>
      <w:r w:rsidR="00363251">
        <w:rPr>
          <w:rFonts w:ascii="Arial Narrow" w:hAnsi="Arial Narrow" w:cs="Times New Roman"/>
        </w:rPr>
        <w:t>and</w:t>
      </w:r>
    </w:p>
    <w:p w14:paraId="6B9F27E1" w14:textId="2E148155" w:rsidR="00B96142" w:rsidRPr="00363251" w:rsidRDefault="000217E3" w:rsidP="00363251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Arial Narrow" w:hAnsi="Arial Narrow" w:cs="Times New Roman"/>
          <w:b/>
        </w:rPr>
      </w:pPr>
      <w:r w:rsidRPr="00363251">
        <w:rPr>
          <w:rFonts w:ascii="Arial Narrow" w:hAnsi="Arial Narrow" w:cs="Times New Roman"/>
          <w:b/>
        </w:rPr>
        <w:t>Template 26 – Regional Action Steps to Forensic Goals</w:t>
      </w:r>
      <w:r w:rsidR="00363251" w:rsidRPr="00363251">
        <w:rPr>
          <w:rFonts w:ascii="Arial Narrow" w:hAnsi="Arial Narrow" w:cs="Times New Roman"/>
          <w:b/>
        </w:rPr>
        <w:t>.</w:t>
      </w:r>
    </w:p>
    <w:sectPr w:rsidR="00B96142" w:rsidRPr="00363251" w:rsidSect="005379B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B4D6" w14:textId="77777777" w:rsidR="00591BD6" w:rsidRDefault="00591BD6" w:rsidP="0059519D">
      <w:pPr>
        <w:spacing w:after="0" w:line="240" w:lineRule="auto"/>
      </w:pPr>
      <w:r>
        <w:separator/>
      </w:r>
    </w:p>
  </w:endnote>
  <w:endnote w:type="continuationSeparator" w:id="0">
    <w:p w14:paraId="408CFCF8" w14:textId="77777777" w:rsidR="00591BD6" w:rsidRDefault="00591BD6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FE8E" w14:textId="4849FDD8" w:rsidR="00AE0FA2" w:rsidRPr="00B057DC" w:rsidRDefault="00AE0FA2" w:rsidP="00AE0FA2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 w:rsidRPr="00B057DC">
      <w:rPr>
        <w:rFonts w:ascii="Arial Narrow" w:eastAsia="Times New Roman" w:hAnsi="Arial Narrow" w:cs="Times New Roman"/>
      </w:rPr>
      <w:fldChar w:fldCharType="begin"/>
    </w:r>
    <w:r w:rsidRPr="00B057DC">
      <w:rPr>
        <w:rFonts w:ascii="Arial Narrow" w:eastAsia="Times New Roman" w:hAnsi="Arial Narrow" w:cs="Times New Roman"/>
      </w:rPr>
      <w:instrText xml:space="preserve"> PAGE   \* MERGEFORMAT </w:instrText>
    </w:r>
    <w:r w:rsidRPr="00B057DC">
      <w:rPr>
        <w:rFonts w:ascii="Arial Narrow" w:eastAsia="Times New Roman" w:hAnsi="Arial Narrow" w:cs="Times New Roman"/>
      </w:rPr>
      <w:fldChar w:fldCharType="separate"/>
    </w:r>
    <w:r w:rsidR="00877208">
      <w:rPr>
        <w:rFonts w:ascii="Arial Narrow" w:eastAsia="Times New Roman" w:hAnsi="Arial Narrow" w:cs="Times New Roman"/>
        <w:noProof/>
      </w:rPr>
      <w:t>2</w:t>
    </w:r>
    <w:r w:rsidRPr="00B057DC">
      <w:rPr>
        <w:rFonts w:ascii="Arial Narrow" w:eastAsia="Times New Roman" w:hAnsi="Arial Narrow" w:cs="Times New Roman"/>
      </w:rPr>
      <w:fldChar w:fldCharType="end"/>
    </w:r>
  </w:p>
  <w:p w14:paraId="7FC17F8C" w14:textId="77777777" w:rsidR="00DB7685" w:rsidRPr="00DB7685" w:rsidRDefault="00DB7685" w:rsidP="00BC1E82">
    <w:pPr>
      <w:tabs>
        <w:tab w:val="center" w:pos="4320"/>
        <w:tab w:val="right" w:pos="8640"/>
      </w:tabs>
      <w:spacing w:after="0" w:line="240" w:lineRule="auto"/>
      <w:jc w:val="right"/>
      <w:rPr>
        <w:rFonts w:ascii="Arial Narrow" w:eastAsia="Times New Roman" w:hAnsi="Arial Narrow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A89B" w14:textId="5C287573" w:rsidR="00DD1C1B" w:rsidRPr="00B057DC" w:rsidRDefault="00DD1C1B" w:rsidP="00DD1C1B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 w:rsidRPr="00B057DC">
      <w:rPr>
        <w:rFonts w:ascii="Arial Narrow" w:eastAsia="Times New Roman" w:hAnsi="Arial Narrow" w:cs="Times New Roman"/>
      </w:rPr>
      <w:fldChar w:fldCharType="begin"/>
    </w:r>
    <w:r w:rsidRPr="00B057DC">
      <w:rPr>
        <w:rFonts w:ascii="Arial Narrow" w:eastAsia="Times New Roman" w:hAnsi="Arial Narrow" w:cs="Times New Roman"/>
      </w:rPr>
      <w:instrText xml:space="preserve"> PAGE   \* MERGEFORMAT </w:instrText>
    </w:r>
    <w:r w:rsidRPr="00B057DC">
      <w:rPr>
        <w:rFonts w:ascii="Arial Narrow" w:eastAsia="Times New Roman" w:hAnsi="Arial Narrow" w:cs="Times New Roman"/>
      </w:rPr>
      <w:fldChar w:fldCharType="separate"/>
    </w:r>
    <w:r w:rsidR="00877208">
      <w:rPr>
        <w:rFonts w:ascii="Arial Narrow" w:eastAsia="Times New Roman" w:hAnsi="Arial Narrow" w:cs="Times New Roman"/>
        <w:noProof/>
      </w:rPr>
      <w:t>1</w:t>
    </w:r>
    <w:r w:rsidRPr="00B057DC">
      <w:rPr>
        <w:rFonts w:ascii="Arial Narrow" w:eastAsia="Times New Roman" w:hAnsi="Arial Narrow" w:cs="Times New Roman"/>
      </w:rPr>
      <w:fldChar w:fldCharType="end"/>
    </w:r>
  </w:p>
  <w:p w14:paraId="0E09175B" w14:textId="669557FF" w:rsidR="00DD1C1B" w:rsidRPr="005379BC" w:rsidRDefault="00DD1C1B" w:rsidP="005379BC">
    <w:pPr>
      <w:tabs>
        <w:tab w:val="center" w:pos="4320"/>
        <w:tab w:val="right" w:pos="8640"/>
      </w:tabs>
      <w:spacing w:after="0" w:line="240" w:lineRule="auto"/>
      <w:jc w:val="right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 xml:space="preserve">Effective:  </w:t>
    </w:r>
    <w:r w:rsidR="00AB777D">
      <w:rPr>
        <w:rFonts w:ascii="Arial Narrow" w:eastAsia="Times New Roman" w:hAnsi="Arial Narrow" w:cs="Times New Roman"/>
      </w:rPr>
      <w:t>April 1</w:t>
    </w:r>
    <w:r w:rsidR="00CF3E63">
      <w:rPr>
        <w:rFonts w:ascii="Arial Narrow" w:eastAsia="Times New Roman" w:hAnsi="Arial Narrow" w:cs="Times New Roman"/>
      </w:rPr>
      <w:t xml:space="preserve">, </w:t>
    </w:r>
    <w:r w:rsidR="008B11E4">
      <w:rPr>
        <w:rFonts w:ascii="Arial Narrow" w:eastAsia="Times New Roman" w:hAnsi="Arial Narrow" w:cs="Times New Roman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5590" w14:textId="77777777" w:rsidR="00591BD6" w:rsidRDefault="00591BD6" w:rsidP="0059519D">
      <w:pPr>
        <w:spacing w:after="0" w:line="240" w:lineRule="auto"/>
      </w:pPr>
      <w:r>
        <w:separator/>
      </w:r>
    </w:p>
  </w:footnote>
  <w:footnote w:type="continuationSeparator" w:id="0">
    <w:p w14:paraId="2CF2F959" w14:textId="77777777" w:rsidR="00591BD6" w:rsidRDefault="00591BD6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6B3F" w14:textId="77777777" w:rsidR="00DD1C1B" w:rsidRPr="00B057DC" w:rsidRDefault="00DD1C1B" w:rsidP="00DD1C1B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5379BC">
      <w:rPr>
        <w:rFonts w:ascii="Arial Narrow" w:eastAsia="Times New Roman" w:hAnsi="Arial Narrow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2966B5D" wp14:editId="3FA1BC1B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7DC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B057DC">
      <w:rPr>
        <w:rFonts w:ascii="Arial Narrow" w:eastAsia="Times New Roman" w:hAnsi="Arial Narrow" w:cs="Arial"/>
        <w:sz w:val="24"/>
        <w:szCs w:val="24"/>
      </w:rPr>
      <w:br/>
    </w:r>
  </w:p>
  <w:p w14:paraId="6E954A04" w14:textId="77777777" w:rsidR="00DD1C1B" w:rsidRDefault="00DD1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284"/>
    <w:multiLevelType w:val="hybridMultilevel"/>
    <w:tmpl w:val="66AA1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64C20C6"/>
    <w:multiLevelType w:val="hybridMultilevel"/>
    <w:tmpl w:val="9C40B17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7E81D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70F616FA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1EB52A3F"/>
    <w:multiLevelType w:val="hybridMultilevel"/>
    <w:tmpl w:val="6B868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24BC0"/>
    <w:multiLevelType w:val="hybridMultilevel"/>
    <w:tmpl w:val="D31A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58FB"/>
    <w:multiLevelType w:val="multilevel"/>
    <w:tmpl w:val="1A2A0E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 w:firstLine="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7CB4AB9"/>
    <w:multiLevelType w:val="hybridMultilevel"/>
    <w:tmpl w:val="4A8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047C"/>
    <w:multiLevelType w:val="hybridMultilevel"/>
    <w:tmpl w:val="2FD8BBBE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3114A"/>
    <w:multiLevelType w:val="hybridMultilevel"/>
    <w:tmpl w:val="E7B00326"/>
    <w:lvl w:ilvl="0" w:tplc="3C249116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6109E8"/>
    <w:multiLevelType w:val="multilevel"/>
    <w:tmpl w:val="BDC0E9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 w:firstLine="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76C7"/>
    <w:multiLevelType w:val="hybridMultilevel"/>
    <w:tmpl w:val="FCC6F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260B"/>
    <w:multiLevelType w:val="hybridMultilevel"/>
    <w:tmpl w:val="B63A5A76"/>
    <w:lvl w:ilvl="0" w:tplc="9E965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D5A219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C6D63"/>
    <w:multiLevelType w:val="hybridMultilevel"/>
    <w:tmpl w:val="C0589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D52"/>
    <w:multiLevelType w:val="hybridMultilevel"/>
    <w:tmpl w:val="1F44F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14"/>
  </w:num>
  <w:num w:numId="6">
    <w:abstractNumId w:val="12"/>
  </w:num>
  <w:num w:numId="7">
    <w:abstractNumId w:val="18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0305E"/>
    <w:rsid w:val="00005490"/>
    <w:rsid w:val="00010BC2"/>
    <w:rsid w:val="000217E3"/>
    <w:rsid w:val="000409C9"/>
    <w:rsid w:val="0005498E"/>
    <w:rsid w:val="00063B25"/>
    <w:rsid w:val="00071BFD"/>
    <w:rsid w:val="00071F4E"/>
    <w:rsid w:val="000A1D8A"/>
    <w:rsid w:val="000B7E06"/>
    <w:rsid w:val="000C1FF9"/>
    <w:rsid w:val="000C33D6"/>
    <w:rsid w:val="000E4D0A"/>
    <w:rsid w:val="000F1137"/>
    <w:rsid w:val="0010382B"/>
    <w:rsid w:val="00163B02"/>
    <w:rsid w:val="00175FA8"/>
    <w:rsid w:val="001859CA"/>
    <w:rsid w:val="00191D57"/>
    <w:rsid w:val="001A2412"/>
    <w:rsid w:val="001B5E69"/>
    <w:rsid w:val="001C5D06"/>
    <w:rsid w:val="001C67D2"/>
    <w:rsid w:val="001D0926"/>
    <w:rsid w:val="00216026"/>
    <w:rsid w:val="0021728F"/>
    <w:rsid w:val="00223BB4"/>
    <w:rsid w:val="00225C63"/>
    <w:rsid w:val="00246DD1"/>
    <w:rsid w:val="00257631"/>
    <w:rsid w:val="002630B7"/>
    <w:rsid w:val="0026406B"/>
    <w:rsid w:val="00264132"/>
    <w:rsid w:val="00277EF0"/>
    <w:rsid w:val="002B384E"/>
    <w:rsid w:val="002C2151"/>
    <w:rsid w:val="002C3247"/>
    <w:rsid w:val="002C4E5D"/>
    <w:rsid w:val="002C544B"/>
    <w:rsid w:val="002D18A1"/>
    <w:rsid w:val="002D55C1"/>
    <w:rsid w:val="002F101B"/>
    <w:rsid w:val="00305499"/>
    <w:rsid w:val="00313E2D"/>
    <w:rsid w:val="00340FBE"/>
    <w:rsid w:val="00344362"/>
    <w:rsid w:val="00363251"/>
    <w:rsid w:val="0037515A"/>
    <w:rsid w:val="00397A9F"/>
    <w:rsid w:val="003C055D"/>
    <w:rsid w:val="003C0B06"/>
    <w:rsid w:val="003C2721"/>
    <w:rsid w:val="003C43E6"/>
    <w:rsid w:val="003F7143"/>
    <w:rsid w:val="00436D1D"/>
    <w:rsid w:val="00445313"/>
    <w:rsid w:val="00456804"/>
    <w:rsid w:val="00460ADC"/>
    <w:rsid w:val="00470556"/>
    <w:rsid w:val="004A082E"/>
    <w:rsid w:val="004A5ACC"/>
    <w:rsid w:val="004C1461"/>
    <w:rsid w:val="004C6FE3"/>
    <w:rsid w:val="004F2945"/>
    <w:rsid w:val="004F6ACF"/>
    <w:rsid w:val="00512098"/>
    <w:rsid w:val="00517042"/>
    <w:rsid w:val="0051766A"/>
    <w:rsid w:val="00531042"/>
    <w:rsid w:val="00534490"/>
    <w:rsid w:val="005379BC"/>
    <w:rsid w:val="00546846"/>
    <w:rsid w:val="00547BE7"/>
    <w:rsid w:val="005530DC"/>
    <w:rsid w:val="00553BED"/>
    <w:rsid w:val="005627B7"/>
    <w:rsid w:val="00565500"/>
    <w:rsid w:val="00565677"/>
    <w:rsid w:val="005835A5"/>
    <w:rsid w:val="00585571"/>
    <w:rsid w:val="00591BD6"/>
    <w:rsid w:val="0059519D"/>
    <w:rsid w:val="0059651C"/>
    <w:rsid w:val="005C227F"/>
    <w:rsid w:val="005D3473"/>
    <w:rsid w:val="005F6507"/>
    <w:rsid w:val="00610F6F"/>
    <w:rsid w:val="00616B33"/>
    <w:rsid w:val="006620B5"/>
    <w:rsid w:val="0067768B"/>
    <w:rsid w:val="006A204F"/>
    <w:rsid w:val="006A2A02"/>
    <w:rsid w:val="006C0262"/>
    <w:rsid w:val="006C04A3"/>
    <w:rsid w:val="006D1ABB"/>
    <w:rsid w:val="006D1E19"/>
    <w:rsid w:val="006D6DC8"/>
    <w:rsid w:val="006D796E"/>
    <w:rsid w:val="006E393F"/>
    <w:rsid w:val="006F598B"/>
    <w:rsid w:val="007557D0"/>
    <w:rsid w:val="00765253"/>
    <w:rsid w:val="007871D7"/>
    <w:rsid w:val="0079603B"/>
    <w:rsid w:val="007C02BE"/>
    <w:rsid w:val="007C1559"/>
    <w:rsid w:val="007C31B9"/>
    <w:rsid w:val="008157BE"/>
    <w:rsid w:val="008214A5"/>
    <w:rsid w:val="00835F74"/>
    <w:rsid w:val="00851CBF"/>
    <w:rsid w:val="00864B61"/>
    <w:rsid w:val="00870F1B"/>
    <w:rsid w:val="00877208"/>
    <w:rsid w:val="008876FA"/>
    <w:rsid w:val="008911EB"/>
    <w:rsid w:val="00895810"/>
    <w:rsid w:val="008A14D0"/>
    <w:rsid w:val="008B11E4"/>
    <w:rsid w:val="008B62BB"/>
    <w:rsid w:val="008C0E60"/>
    <w:rsid w:val="008E2931"/>
    <w:rsid w:val="008F2C88"/>
    <w:rsid w:val="0092643F"/>
    <w:rsid w:val="00944D47"/>
    <w:rsid w:val="009749E8"/>
    <w:rsid w:val="0098518C"/>
    <w:rsid w:val="00986AB0"/>
    <w:rsid w:val="0099240F"/>
    <w:rsid w:val="009D5B30"/>
    <w:rsid w:val="009E2B4D"/>
    <w:rsid w:val="009F34A2"/>
    <w:rsid w:val="00A12F24"/>
    <w:rsid w:val="00A27301"/>
    <w:rsid w:val="00A72F96"/>
    <w:rsid w:val="00A74736"/>
    <w:rsid w:val="00A84057"/>
    <w:rsid w:val="00A8520C"/>
    <w:rsid w:val="00A90047"/>
    <w:rsid w:val="00A9772E"/>
    <w:rsid w:val="00AB4F77"/>
    <w:rsid w:val="00AB777D"/>
    <w:rsid w:val="00AC00F8"/>
    <w:rsid w:val="00AC6D8A"/>
    <w:rsid w:val="00AE0FA2"/>
    <w:rsid w:val="00B057DC"/>
    <w:rsid w:val="00B2388F"/>
    <w:rsid w:val="00B31D71"/>
    <w:rsid w:val="00B43124"/>
    <w:rsid w:val="00B535DE"/>
    <w:rsid w:val="00B540E5"/>
    <w:rsid w:val="00B614C4"/>
    <w:rsid w:val="00B71733"/>
    <w:rsid w:val="00B77A39"/>
    <w:rsid w:val="00B96142"/>
    <w:rsid w:val="00BA219F"/>
    <w:rsid w:val="00BB3C35"/>
    <w:rsid w:val="00BB48C4"/>
    <w:rsid w:val="00BB6EF1"/>
    <w:rsid w:val="00BC1E82"/>
    <w:rsid w:val="00BC7B0B"/>
    <w:rsid w:val="00C02462"/>
    <w:rsid w:val="00C0277D"/>
    <w:rsid w:val="00C12B75"/>
    <w:rsid w:val="00C2328E"/>
    <w:rsid w:val="00C53ECE"/>
    <w:rsid w:val="00CD1F35"/>
    <w:rsid w:val="00CE3258"/>
    <w:rsid w:val="00CF3E63"/>
    <w:rsid w:val="00CF6823"/>
    <w:rsid w:val="00CF698F"/>
    <w:rsid w:val="00D227C6"/>
    <w:rsid w:val="00D54354"/>
    <w:rsid w:val="00D55744"/>
    <w:rsid w:val="00D6214C"/>
    <w:rsid w:val="00DA51B5"/>
    <w:rsid w:val="00DB7685"/>
    <w:rsid w:val="00DD1C1B"/>
    <w:rsid w:val="00DF25C2"/>
    <w:rsid w:val="00E2663E"/>
    <w:rsid w:val="00E377D0"/>
    <w:rsid w:val="00E51955"/>
    <w:rsid w:val="00E5702E"/>
    <w:rsid w:val="00E85E97"/>
    <w:rsid w:val="00EC1D54"/>
    <w:rsid w:val="00EE0CF9"/>
    <w:rsid w:val="00F07539"/>
    <w:rsid w:val="00F16739"/>
    <w:rsid w:val="00F17C50"/>
    <w:rsid w:val="00F206CF"/>
    <w:rsid w:val="00F56C8B"/>
    <w:rsid w:val="00F66636"/>
    <w:rsid w:val="00F906C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239E13"/>
  <w15:docId w15:val="{F2F642DF-C3B4-46F3-A73D-F138D908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styleId="BodyText2">
    <w:name w:val="Body Text 2"/>
    <w:basedOn w:val="Normal"/>
    <w:link w:val="BodyText2Char"/>
    <w:rsid w:val="003C2721"/>
    <w:pPr>
      <w:overflowPunct w:val="0"/>
      <w:autoSpaceDE w:val="0"/>
      <w:autoSpaceDN w:val="0"/>
      <w:adjustRightInd w:val="0"/>
      <w:spacing w:after="0" w:line="240" w:lineRule="auto"/>
      <w:ind w:left="432" w:hanging="432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C2721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3C2721"/>
    <w:pPr>
      <w:tabs>
        <w:tab w:val="left" w:pos="432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C2721"/>
    <w:rPr>
      <w:rFonts w:ascii="Arial" w:eastAsia="Times New Roman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7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7A69-6314-432C-8143-F60C3443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Micallef, Jimmers</dc:creator>
  <cp:lastModifiedBy>Micallef, Jimmers</cp:lastModifiedBy>
  <cp:revision>2</cp:revision>
  <cp:lastPrinted>2017-04-06T19:01:00Z</cp:lastPrinted>
  <dcterms:created xsi:type="dcterms:W3CDTF">2018-06-01T21:20:00Z</dcterms:created>
  <dcterms:modified xsi:type="dcterms:W3CDTF">2018-06-01T21:20:00Z</dcterms:modified>
</cp:coreProperties>
</file>