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47" w:rsidRPr="00F54E07" w:rsidRDefault="00F0720C" w:rsidP="005F57C4">
      <w:pPr>
        <w:spacing w:before="120" w:after="120"/>
        <w:jc w:val="center"/>
        <w:rPr>
          <w:rFonts w:ascii="Arial Narrow" w:hAnsi="Arial Narrow"/>
          <w:b/>
          <w:bCs/>
          <w:sz w:val="24"/>
          <w:szCs w:val="24"/>
        </w:rPr>
      </w:pPr>
      <w:r>
        <w:rPr>
          <w:rFonts w:ascii="Arial Narrow" w:hAnsi="Arial Narrow"/>
          <w:b/>
          <w:bCs/>
          <w:sz w:val="24"/>
          <w:szCs w:val="24"/>
        </w:rPr>
        <w:t xml:space="preserve">Guidance </w:t>
      </w:r>
      <w:r w:rsidR="00A66D0E">
        <w:rPr>
          <w:rFonts w:ascii="Arial Narrow" w:hAnsi="Arial Narrow"/>
          <w:b/>
          <w:bCs/>
          <w:sz w:val="24"/>
          <w:szCs w:val="24"/>
        </w:rPr>
        <w:t>2</w:t>
      </w:r>
    </w:p>
    <w:p w:rsidR="00C87934" w:rsidRDefault="00E32E32" w:rsidP="005F57C4">
      <w:pPr>
        <w:spacing w:before="120" w:after="120"/>
        <w:jc w:val="center"/>
        <w:rPr>
          <w:rFonts w:ascii="Arial Narrow" w:hAnsi="Arial Narrow"/>
          <w:b/>
          <w:bCs/>
          <w:sz w:val="24"/>
          <w:szCs w:val="24"/>
        </w:rPr>
      </w:pPr>
      <w:r w:rsidRPr="0095136A">
        <w:rPr>
          <w:rFonts w:ascii="Arial Narrow" w:hAnsi="Arial Narrow"/>
          <w:b/>
          <w:bCs/>
          <w:sz w:val="24"/>
          <w:szCs w:val="24"/>
        </w:rPr>
        <w:t xml:space="preserve">Tangible Property Requirements </w:t>
      </w:r>
    </w:p>
    <w:p w:rsidR="003F3979" w:rsidRPr="00F54E07" w:rsidRDefault="006F1811" w:rsidP="005F57C4">
      <w:pPr>
        <w:spacing w:before="120" w:after="120"/>
        <w:jc w:val="both"/>
        <w:rPr>
          <w:rFonts w:ascii="Arial Narrow" w:hAnsi="Arial Narrow" w:cs="Arial"/>
          <w:sz w:val="22"/>
          <w:szCs w:val="22"/>
        </w:rPr>
      </w:pPr>
      <w:r w:rsidRPr="006F1811">
        <w:rPr>
          <w:rFonts w:ascii="Arial Narrow" w:eastAsiaTheme="minorEastAsia" w:hAnsi="Arial Narrow"/>
          <w:b/>
          <w:sz w:val="22"/>
          <w:szCs w:val="22"/>
        </w:rPr>
        <w:t>Contract Reference:</w:t>
      </w:r>
      <w:r w:rsidRPr="006F1811">
        <w:rPr>
          <w:rFonts w:ascii="Arial Narrow" w:eastAsiaTheme="minorEastAsia" w:hAnsi="Arial Narrow"/>
          <w:b/>
          <w:sz w:val="22"/>
          <w:szCs w:val="22"/>
        </w:rPr>
        <w:tab/>
      </w:r>
      <w:r w:rsidR="004357EC" w:rsidRPr="004357EC">
        <w:rPr>
          <w:rFonts w:ascii="Arial Narrow" w:hAnsi="Arial Narrow" w:cs="Arial"/>
          <w:i/>
          <w:sz w:val="22"/>
          <w:szCs w:val="22"/>
        </w:rPr>
        <w:t>Section</w:t>
      </w:r>
      <w:r w:rsidR="00AA2208">
        <w:rPr>
          <w:rFonts w:ascii="Arial Narrow" w:hAnsi="Arial Narrow" w:cs="Arial"/>
          <w:i/>
          <w:sz w:val="22"/>
          <w:szCs w:val="22"/>
        </w:rPr>
        <w:t xml:space="preserve">s A-1.1 and </w:t>
      </w:r>
      <w:r w:rsidR="00AA2208" w:rsidRPr="004357EC">
        <w:rPr>
          <w:rFonts w:ascii="Arial Narrow" w:hAnsi="Arial Narrow" w:cs="Arial"/>
          <w:i/>
          <w:sz w:val="22"/>
          <w:szCs w:val="22"/>
        </w:rPr>
        <w:t>B</w:t>
      </w:r>
      <w:r w:rsidR="004357EC" w:rsidRPr="004357EC">
        <w:rPr>
          <w:rFonts w:ascii="Arial Narrow" w:hAnsi="Arial Narrow" w:cs="Arial"/>
          <w:i/>
          <w:sz w:val="22"/>
          <w:szCs w:val="22"/>
        </w:rPr>
        <w:t>-7.2</w:t>
      </w:r>
    </w:p>
    <w:p w:rsidR="003F3979" w:rsidRPr="004357EC" w:rsidRDefault="003F3979" w:rsidP="005F57C4">
      <w:pPr>
        <w:tabs>
          <w:tab w:val="left" w:pos="0"/>
        </w:tabs>
        <w:spacing w:before="120" w:after="120"/>
        <w:rPr>
          <w:rFonts w:ascii="Arial Narrow" w:hAnsi="Arial Narrow" w:cs="Arial"/>
          <w:i/>
          <w:sz w:val="22"/>
          <w:szCs w:val="22"/>
        </w:rPr>
      </w:pPr>
      <w:r w:rsidRPr="00F54E07">
        <w:rPr>
          <w:rFonts w:ascii="Arial Narrow" w:hAnsi="Arial Narrow" w:cs="Arial"/>
          <w:b/>
          <w:sz w:val="22"/>
          <w:szCs w:val="22"/>
        </w:rPr>
        <w:t>Frequency:</w:t>
      </w:r>
      <w:r w:rsidRPr="00F54E07">
        <w:rPr>
          <w:rFonts w:ascii="Arial Narrow" w:hAnsi="Arial Narrow" w:cs="Arial"/>
          <w:b/>
          <w:sz w:val="22"/>
          <w:szCs w:val="22"/>
        </w:rPr>
        <w:tab/>
      </w:r>
      <w:r w:rsidR="006F1811">
        <w:rPr>
          <w:rFonts w:ascii="Arial Narrow" w:hAnsi="Arial Narrow" w:cs="Arial"/>
          <w:b/>
          <w:sz w:val="22"/>
          <w:szCs w:val="22"/>
        </w:rPr>
        <w:tab/>
      </w:r>
      <w:r w:rsidRPr="004357EC">
        <w:rPr>
          <w:rFonts w:ascii="Arial Narrow" w:hAnsi="Arial Narrow" w:cs="Arial"/>
          <w:i/>
          <w:sz w:val="22"/>
          <w:szCs w:val="22"/>
        </w:rPr>
        <w:t>Ongoing</w:t>
      </w:r>
    </w:p>
    <w:p w:rsidR="003F3979" w:rsidRPr="00F54E07" w:rsidRDefault="003F3979" w:rsidP="005F57C4">
      <w:pPr>
        <w:tabs>
          <w:tab w:val="left" w:pos="0"/>
        </w:tabs>
        <w:spacing w:before="120" w:after="120"/>
        <w:rPr>
          <w:rFonts w:ascii="Arial Narrow" w:hAnsi="Arial Narrow" w:cs="Arial"/>
          <w:sz w:val="22"/>
          <w:szCs w:val="22"/>
        </w:rPr>
      </w:pPr>
      <w:r w:rsidRPr="00F54E07">
        <w:rPr>
          <w:rFonts w:ascii="Arial Narrow" w:hAnsi="Arial Narrow" w:cs="Arial"/>
          <w:b/>
          <w:sz w:val="22"/>
          <w:szCs w:val="22"/>
        </w:rPr>
        <w:t>Due Date:</w:t>
      </w:r>
      <w:r w:rsidRPr="00F54E07">
        <w:rPr>
          <w:rFonts w:ascii="Arial Narrow" w:hAnsi="Arial Narrow" w:cs="Arial"/>
          <w:b/>
          <w:sz w:val="22"/>
          <w:szCs w:val="22"/>
        </w:rPr>
        <w:tab/>
      </w:r>
      <w:r w:rsidR="006F1811">
        <w:rPr>
          <w:rFonts w:ascii="Arial Narrow" w:hAnsi="Arial Narrow" w:cs="Arial"/>
          <w:b/>
          <w:sz w:val="22"/>
          <w:szCs w:val="22"/>
        </w:rPr>
        <w:tab/>
      </w:r>
      <w:r w:rsidRPr="004357EC">
        <w:rPr>
          <w:rFonts w:ascii="Arial Narrow" w:hAnsi="Arial Narrow" w:cs="Arial"/>
          <w:i/>
          <w:sz w:val="22"/>
          <w:szCs w:val="22"/>
        </w:rPr>
        <w:t>Ongoing</w:t>
      </w:r>
    </w:p>
    <w:p w:rsidR="003F3979" w:rsidRPr="00F54E07" w:rsidRDefault="003F3979" w:rsidP="005F57C4">
      <w:pPr>
        <w:tabs>
          <w:tab w:val="left" w:pos="0"/>
        </w:tabs>
        <w:spacing w:before="120" w:after="120"/>
        <w:rPr>
          <w:rFonts w:ascii="Arial Narrow" w:hAnsi="Arial Narrow" w:cs="Arial"/>
          <w:b/>
          <w:sz w:val="22"/>
          <w:szCs w:val="22"/>
        </w:rPr>
      </w:pPr>
      <w:r w:rsidRPr="00F54E07">
        <w:rPr>
          <w:rFonts w:ascii="Arial Narrow" w:hAnsi="Arial Narrow" w:cs="Arial"/>
          <w:b/>
          <w:sz w:val="22"/>
          <w:szCs w:val="22"/>
        </w:rPr>
        <w:t>Description:</w:t>
      </w:r>
    </w:p>
    <w:p w:rsidR="00E57E12" w:rsidRPr="00F54E07" w:rsidRDefault="00E57E12" w:rsidP="005F57C4">
      <w:pPr>
        <w:pStyle w:val="ListParagraph"/>
        <w:numPr>
          <w:ilvl w:val="0"/>
          <w:numId w:val="12"/>
        </w:numPr>
        <w:tabs>
          <w:tab w:val="left" w:pos="360"/>
        </w:tabs>
        <w:spacing w:before="120" w:after="120"/>
        <w:ind w:left="0" w:firstLine="0"/>
        <w:contextualSpacing w:val="0"/>
        <w:rPr>
          <w:rFonts w:ascii="Arial Narrow" w:hAnsi="Arial Narrow" w:cs="Arial"/>
          <w:b/>
          <w:sz w:val="22"/>
          <w:szCs w:val="22"/>
        </w:rPr>
      </w:pPr>
      <w:r w:rsidRPr="00F54E07">
        <w:rPr>
          <w:rFonts w:ascii="Arial Narrow" w:hAnsi="Arial Narrow" w:cs="Arial"/>
          <w:b/>
          <w:sz w:val="22"/>
          <w:szCs w:val="22"/>
          <w:u w:val="single"/>
        </w:rPr>
        <w:t>Definitions</w:t>
      </w:r>
      <w:bookmarkStart w:id="0" w:name="_GoBack"/>
      <w:bookmarkEnd w:id="0"/>
    </w:p>
    <w:p w:rsidR="00DD08B3" w:rsidRPr="00F54E07" w:rsidRDefault="003F3979" w:rsidP="005F57C4">
      <w:pPr>
        <w:pStyle w:val="BodyText2"/>
        <w:spacing w:before="120" w:after="120"/>
        <w:ind w:left="0" w:firstLine="360"/>
        <w:rPr>
          <w:rFonts w:ascii="Arial Narrow" w:hAnsi="Arial Narrow" w:cs="Arial"/>
          <w:szCs w:val="22"/>
        </w:rPr>
      </w:pPr>
      <w:r w:rsidRPr="00F54E07">
        <w:rPr>
          <w:rFonts w:ascii="Arial Narrow" w:hAnsi="Arial Narrow" w:cs="Arial"/>
          <w:szCs w:val="22"/>
        </w:rPr>
        <w:t>P</w:t>
      </w:r>
      <w:r w:rsidR="00E57E12" w:rsidRPr="00F54E07">
        <w:rPr>
          <w:rFonts w:ascii="Arial Narrow" w:hAnsi="Arial Narrow" w:cs="Arial"/>
          <w:szCs w:val="22"/>
        </w:rPr>
        <w:t>roperty includes:</w:t>
      </w:r>
    </w:p>
    <w:p w:rsidR="00E57E12" w:rsidRPr="00F54E07" w:rsidRDefault="00E57E12" w:rsidP="005F57C4">
      <w:pPr>
        <w:pStyle w:val="BodyText2"/>
        <w:numPr>
          <w:ilvl w:val="0"/>
          <w:numId w:val="11"/>
        </w:numPr>
        <w:spacing w:before="120" w:after="120"/>
        <w:rPr>
          <w:rFonts w:ascii="Arial Narrow" w:hAnsi="Arial Narrow" w:cs="Arial"/>
          <w:szCs w:val="22"/>
        </w:rPr>
      </w:pPr>
      <w:r w:rsidRPr="00F54E07">
        <w:rPr>
          <w:rFonts w:ascii="Arial Narrow" w:hAnsi="Arial Narrow" w:cs="Arial"/>
          <w:szCs w:val="22"/>
        </w:rPr>
        <w:t>Equipment, furniture, fixtures, motor vehicles, and other personal property of a non-consumable and non-expendable nature, the original acquisition cost or estimated fair market value of which is $1,000 or more, and the expected useful life of which at the time of transfer or purchase is one (1) year or more.</w:t>
      </w:r>
    </w:p>
    <w:p w:rsidR="00E57E12" w:rsidRPr="00F54E07" w:rsidRDefault="00E57E12" w:rsidP="005F57C4">
      <w:pPr>
        <w:pStyle w:val="BodyText2"/>
        <w:numPr>
          <w:ilvl w:val="0"/>
          <w:numId w:val="11"/>
        </w:numPr>
        <w:spacing w:before="120" w:after="120"/>
        <w:rPr>
          <w:rFonts w:ascii="Arial Narrow" w:hAnsi="Arial Narrow" w:cs="Arial"/>
          <w:szCs w:val="22"/>
        </w:rPr>
      </w:pPr>
      <w:r w:rsidRPr="00F54E07">
        <w:rPr>
          <w:rFonts w:ascii="Arial Narrow" w:hAnsi="Arial Narrow" w:cs="Arial"/>
          <w:szCs w:val="22"/>
        </w:rPr>
        <w:t>All computers with an expected useful life of which at the time of transfer or purchase is one (1) year or more.</w:t>
      </w:r>
    </w:p>
    <w:p w:rsidR="00E57E12" w:rsidRPr="00F54E07" w:rsidRDefault="003F3979" w:rsidP="005F57C4">
      <w:pPr>
        <w:pStyle w:val="BodyText2"/>
        <w:spacing w:before="120" w:after="120"/>
        <w:ind w:left="360" w:firstLine="0"/>
        <w:rPr>
          <w:rFonts w:ascii="Arial Narrow" w:hAnsi="Arial Narrow" w:cs="Arial"/>
          <w:szCs w:val="22"/>
        </w:rPr>
      </w:pPr>
      <w:r w:rsidRPr="00F54E07">
        <w:rPr>
          <w:rFonts w:ascii="Arial Narrow" w:hAnsi="Arial Narrow" w:cs="Arial"/>
          <w:szCs w:val="22"/>
        </w:rPr>
        <w:t>M</w:t>
      </w:r>
      <w:r w:rsidR="00E57E12" w:rsidRPr="00F54E07">
        <w:rPr>
          <w:rFonts w:ascii="Arial Narrow" w:hAnsi="Arial Narrow" w:cs="Arial"/>
          <w:szCs w:val="22"/>
        </w:rPr>
        <w:t xml:space="preserve">otor </w:t>
      </w:r>
      <w:r w:rsidRPr="00F54E07">
        <w:rPr>
          <w:rFonts w:ascii="Arial Narrow" w:hAnsi="Arial Narrow" w:cs="Arial"/>
          <w:szCs w:val="22"/>
        </w:rPr>
        <w:t>vehicles include</w:t>
      </w:r>
      <w:r w:rsidR="00E57E12" w:rsidRPr="00F54E07">
        <w:rPr>
          <w:rFonts w:ascii="Arial Narrow" w:hAnsi="Arial Narrow" w:cs="Arial"/>
          <w:szCs w:val="22"/>
        </w:rPr>
        <w:t xml:space="preserve"> any automobile, truck, airplane, boat, or other mobile equipment used for transporting persons or cargo.</w:t>
      </w:r>
    </w:p>
    <w:p w:rsidR="00E57E12" w:rsidRDefault="00E57E12" w:rsidP="005F57C4">
      <w:pPr>
        <w:pStyle w:val="ListParagraph"/>
        <w:numPr>
          <w:ilvl w:val="0"/>
          <w:numId w:val="12"/>
        </w:numPr>
        <w:tabs>
          <w:tab w:val="left" w:pos="360"/>
        </w:tabs>
        <w:spacing w:before="120" w:after="120"/>
        <w:ind w:left="0" w:firstLine="0"/>
        <w:contextualSpacing w:val="0"/>
        <w:rPr>
          <w:rFonts w:ascii="Arial Narrow" w:hAnsi="Arial Narrow" w:cs="Arial"/>
          <w:b/>
          <w:sz w:val="22"/>
          <w:szCs w:val="22"/>
          <w:u w:val="single"/>
        </w:rPr>
      </w:pPr>
      <w:r w:rsidRPr="00F54E07">
        <w:rPr>
          <w:rFonts w:ascii="Arial Narrow" w:hAnsi="Arial Narrow" w:cs="Arial"/>
          <w:b/>
          <w:sz w:val="22"/>
          <w:szCs w:val="22"/>
          <w:u w:val="single"/>
        </w:rPr>
        <w:t>Transferred Property</w:t>
      </w:r>
    </w:p>
    <w:p w:rsidR="00E57E12" w:rsidRPr="005F57C4" w:rsidRDefault="003F3979" w:rsidP="005F57C4">
      <w:pPr>
        <w:pStyle w:val="ListParagraph"/>
        <w:numPr>
          <w:ilvl w:val="1"/>
          <w:numId w:val="12"/>
        </w:numPr>
        <w:tabs>
          <w:tab w:val="left" w:pos="360"/>
        </w:tabs>
        <w:spacing w:before="120" w:after="120"/>
        <w:ind w:left="360" w:firstLine="0"/>
        <w:contextualSpacing w:val="0"/>
        <w:rPr>
          <w:rFonts w:ascii="Arial Narrow" w:hAnsi="Arial Narrow" w:cs="Arial"/>
          <w:sz w:val="22"/>
          <w:szCs w:val="22"/>
        </w:rPr>
      </w:pPr>
      <w:r w:rsidRPr="005F57C4">
        <w:rPr>
          <w:rFonts w:ascii="Arial Narrow" w:hAnsi="Arial Narrow" w:cs="Arial"/>
          <w:sz w:val="22"/>
          <w:szCs w:val="22"/>
        </w:rPr>
        <w:t>The basis of the beginning inventory for this contract shall be a Network Service Provider’s</w:t>
      </w:r>
      <w:r w:rsidR="00E57E12" w:rsidRPr="005F57C4">
        <w:rPr>
          <w:rFonts w:ascii="Arial Narrow" w:hAnsi="Arial Narrow" w:cs="Arial"/>
          <w:sz w:val="22"/>
          <w:szCs w:val="22"/>
        </w:rPr>
        <w:t xml:space="preserve"> closeout inventory</w:t>
      </w:r>
      <w:r w:rsidRPr="005F57C4">
        <w:rPr>
          <w:rFonts w:ascii="Arial Narrow" w:hAnsi="Arial Narrow" w:cs="Arial"/>
          <w:sz w:val="22"/>
          <w:szCs w:val="22"/>
        </w:rPr>
        <w:t>,</w:t>
      </w:r>
      <w:r w:rsidR="00E57E12" w:rsidRPr="005F57C4">
        <w:rPr>
          <w:rFonts w:ascii="Arial Narrow" w:hAnsi="Arial Narrow" w:cs="Arial"/>
          <w:sz w:val="22"/>
          <w:szCs w:val="22"/>
        </w:rPr>
        <w:t xml:space="preserve"> </w:t>
      </w:r>
      <w:r w:rsidR="00DD08B3" w:rsidRPr="005F57C4">
        <w:rPr>
          <w:rFonts w:ascii="Arial Narrow" w:hAnsi="Arial Narrow" w:cs="Arial"/>
          <w:sz w:val="22"/>
          <w:szCs w:val="22"/>
        </w:rPr>
        <w:t xml:space="preserve">which was </w:t>
      </w:r>
      <w:r w:rsidR="00E57E12" w:rsidRPr="005F57C4">
        <w:rPr>
          <w:rFonts w:ascii="Arial Narrow" w:hAnsi="Arial Narrow" w:cs="Arial"/>
          <w:sz w:val="22"/>
          <w:szCs w:val="22"/>
        </w:rPr>
        <w:t xml:space="preserve">completed </w:t>
      </w:r>
      <w:r w:rsidRPr="005F57C4">
        <w:rPr>
          <w:rFonts w:ascii="Arial Narrow" w:hAnsi="Arial Narrow" w:cs="Arial"/>
          <w:sz w:val="22"/>
          <w:szCs w:val="22"/>
        </w:rPr>
        <w:t xml:space="preserve">prior to the completion </w:t>
      </w:r>
      <w:r w:rsidR="00E57E12" w:rsidRPr="005F57C4">
        <w:rPr>
          <w:rFonts w:ascii="Arial Narrow" w:hAnsi="Arial Narrow" w:cs="Arial"/>
          <w:sz w:val="22"/>
          <w:szCs w:val="22"/>
        </w:rPr>
        <w:t>or termination of the</w:t>
      </w:r>
      <w:r w:rsidRPr="005F57C4">
        <w:rPr>
          <w:rFonts w:ascii="Arial Narrow" w:hAnsi="Arial Narrow" w:cs="Arial"/>
          <w:sz w:val="22"/>
          <w:szCs w:val="22"/>
        </w:rPr>
        <w:t xml:space="preserve"> contractual relationship with the Department. The Managing Entity </w:t>
      </w:r>
      <w:r w:rsidR="00505CC3" w:rsidRPr="005F57C4">
        <w:rPr>
          <w:rFonts w:ascii="Arial Narrow" w:hAnsi="Arial Narrow" w:cs="Arial"/>
          <w:sz w:val="22"/>
          <w:szCs w:val="22"/>
        </w:rPr>
        <w:t xml:space="preserve">shall submit the Contract </w:t>
      </w:r>
      <w:r w:rsidR="00B74E02" w:rsidRPr="005F57C4">
        <w:rPr>
          <w:rFonts w:ascii="Arial Narrow" w:hAnsi="Arial Narrow" w:cs="Arial"/>
          <w:sz w:val="22"/>
          <w:szCs w:val="22"/>
        </w:rPr>
        <w:t>P</w:t>
      </w:r>
      <w:r w:rsidR="00505CC3" w:rsidRPr="005F57C4">
        <w:rPr>
          <w:rFonts w:ascii="Arial Narrow" w:hAnsi="Arial Narrow" w:cs="Arial"/>
          <w:sz w:val="22"/>
          <w:szCs w:val="22"/>
        </w:rPr>
        <w:t>rovider Property Inventory Form within 30 days of contract execution.</w:t>
      </w:r>
    </w:p>
    <w:p w:rsidR="00E57E12" w:rsidRPr="005F57C4" w:rsidRDefault="00666842" w:rsidP="005F57C4">
      <w:pPr>
        <w:pStyle w:val="ListParagraph"/>
        <w:numPr>
          <w:ilvl w:val="1"/>
          <w:numId w:val="12"/>
        </w:numPr>
        <w:tabs>
          <w:tab w:val="left" w:pos="360"/>
        </w:tabs>
        <w:spacing w:before="120" w:after="120"/>
        <w:ind w:left="360" w:firstLine="0"/>
        <w:contextualSpacing w:val="0"/>
        <w:rPr>
          <w:rFonts w:ascii="Arial Narrow" w:hAnsi="Arial Narrow" w:cs="Arial"/>
          <w:sz w:val="22"/>
          <w:szCs w:val="22"/>
        </w:rPr>
      </w:pPr>
      <w:r w:rsidRPr="005F57C4">
        <w:rPr>
          <w:rFonts w:ascii="Arial Narrow" w:hAnsi="Arial Narrow" w:cs="Arial"/>
          <w:sz w:val="22"/>
          <w:szCs w:val="22"/>
        </w:rPr>
        <w:t>The Managing Entity shall maintain a</w:t>
      </w:r>
      <w:r w:rsidR="00E57E12" w:rsidRPr="005F57C4">
        <w:rPr>
          <w:rFonts w:ascii="Arial Narrow" w:hAnsi="Arial Narrow" w:cs="Arial"/>
          <w:sz w:val="22"/>
          <w:szCs w:val="22"/>
        </w:rPr>
        <w:t xml:space="preserve">nnually thereafter, </w:t>
      </w:r>
      <w:r w:rsidRPr="005F57C4">
        <w:rPr>
          <w:rFonts w:ascii="Arial Narrow" w:hAnsi="Arial Narrow" w:cs="Arial"/>
          <w:sz w:val="22"/>
          <w:szCs w:val="22"/>
        </w:rPr>
        <w:t>and</w:t>
      </w:r>
      <w:r w:rsidR="00E57E12" w:rsidRPr="005F57C4">
        <w:rPr>
          <w:rFonts w:ascii="Arial Narrow" w:hAnsi="Arial Narrow" w:cs="Arial"/>
          <w:sz w:val="22"/>
          <w:szCs w:val="22"/>
        </w:rPr>
        <w:t xml:space="preserve"> submit to the </w:t>
      </w:r>
      <w:r w:rsidRPr="005F57C4">
        <w:rPr>
          <w:rFonts w:ascii="Arial Narrow" w:hAnsi="Arial Narrow" w:cs="Arial"/>
          <w:sz w:val="22"/>
          <w:szCs w:val="22"/>
        </w:rPr>
        <w:t>D</w:t>
      </w:r>
      <w:r w:rsidR="00E57E12" w:rsidRPr="005F57C4">
        <w:rPr>
          <w:rFonts w:ascii="Arial Narrow" w:hAnsi="Arial Narrow" w:cs="Arial"/>
          <w:sz w:val="22"/>
          <w:szCs w:val="22"/>
        </w:rPr>
        <w:t>epartment a complete</w:t>
      </w:r>
      <w:r w:rsidRPr="005F57C4">
        <w:rPr>
          <w:rFonts w:ascii="Arial Narrow" w:hAnsi="Arial Narrow" w:cs="Arial"/>
          <w:sz w:val="22"/>
          <w:szCs w:val="22"/>
        </w:rPr>
        <w:t xml:space="preserve"> </w:t>
      </w:r>
      <w:r w:rsidR="00E57E12" w:rsidRPr="005F57C4">
        <w:rPr>
          <w:rFonts w:ascii="Arial Narrow" w:hAnsi="Arial Narrow" w:cs="Arial"/>
          <w:sz w:val="22"/>
          <w:szCs w:val="22"/>
        </w:rPr>
        <w:t>inventory of all property, and</w:t>
      </w:r>
      <w:r w:rsidRPr="005F57C4">
        <w:rPr>
          <w:rFonts w:ascii="Arial Narrow" w:hAnsi="Arial Narrow" w:cs="Arial"/>
          <w:sz w:val="22"/>
          <w:szCs w:val="22"/>
        </w:rPr>
        <w:t xml:space="preserve"> </w:t>
      </w:r>
      <w:r w:rsidR="00E57E12" w:rsidRPr="005F57C4">
        <w:rPr>
          <w:rFonts w:ascii="Arial Narrow" w:hAnsi="Arial Narrow" w:cs="Arial"/>
          <w:sz w:val="22"/>
          <w:szCs w:val="22"/>
        </w:rPr>
        <w:t xml:space="preserve">clearly reflect any replacement or disposition of the property. </w:t>
      </w:r>
      <w:r w:rsidRPr="005F57C4">
        <w:rPr>
          <w:rFonts w:ascii="Arial Narrow" w:hAnsi="Arial Narrow" w:cs="Arial"/>
          <w:sz w:val="22"/>
          <w:szCs w:val="22"/>
        </w:rPr>
        <w:t>The Managing Entity</w:t>
      </w:r>
      <w:r w:rsidR="00B74E02" w:rsidRPr="005F57C4">
        <w:rPr>
          <w:rFonts w:ascii="Arial Narrow" w:hAnsi="Arial Narrow" w:cs="Arial"/>
          <w:sz w:val="22"/>
          <w:szCs w:val="22"/>
        </w:rPr>
        <w:t xml:space="preserve"> shall</w:t>
      </w:r>
      <w:r w:rsidRPr="005F57C4">
        <w:rPr>
          <w:rFonts w:ascii="Arial Narrow" w:hAnsi="Arial Narrow" w:cs="Arial"/>
          <w:sz w:val="22"/>
          <w:szCs w:val="22"/>
        </w:rPr>
        <w:t xml:space="preserve"> </w:t>
      </w:r>
      <w:r w:rsidR="00B74E02" w:rsidRPr="005F57C4">
        <w:rPr>
          <w:rFonts w:ascii="Arial Narrow" w:hAnsi="Arial Narrow" w:cs="Arial"/>
          <w:sz w:val="22"/>
          <w:szCs w:val="22"/>
        </w:rPr>
        <w:t xml:space="preserve">use the Provider </w:t>
      </w:r>
      <w:r w:rsidR="00F26B1C" w:rsidRPr="005F57C4">
        <w:rPr>
          <w:rFonts w:ascii="Arial Narrow" w:hAnsi="Arial Narrow" w:cs="Arial"/>
          <w:sz w:val="22"/>
          <w:szCs w:val="22"/>
        </w:rPr>
        <w:t xml:space="preserve">Tangible </w:t>
      </w:r>
      <w:r w:rsidR="00B74E02" w:rsidRPr="005F57C4">
        <w:rPr>
          <w:rFonts w:ascii="Arial Narrow" w:hAnsi="Arial Narrow" w:cs="Arial"/>
          <w:sz w:val="22"/>
          <w:szCs w:val="22"/>
        </w:rPr>
        <w:t>Property Inventory Form.</w:t>
      </w:r>
    </w:p>
    <w:p w:rsidR="00E57E12" w:rsidRPr="005F57C4" w:rsidRDefault="00E57E12" w:rsidP="005F57C4">
      <w:pPr>
        <w:pStyle w:val="ListParagraph"/>
        <w:numPr>
          <w:ilvl w:val="1"/>
          <w:numId w:val="12"/>
        </w:numPr>
        <w:tabs>
          <w:tab w:val="left" w:pos="360"/>
        </w:tabs>
        <w:spacing w:before="120" w:after="120"/>
        <w:ind w:left="360" w:firstLine="0"/>
        <w:contextualSpacing w:val="0"/>
        <w:rPr>
          <w:rFonts w:ascii="Arial Narrow" w:hAnsi="Arial Narrow" w:cs="Arial"/>
          <w:sz w:val="22"/>
          <w:szCs w:val="22"/>
        </w:rPr>
      </w:pPr>
      <w:r w:rsidRPr="005F57C4">
        <w:rPr>
          <w:rFonts w:ascii="Arial Narrow" w:hAnsi="Arial Narrow" w:cs="Arial"/>
          <w:sz w:val="22"/>
          <w:szCs w:val="22"/>
        </w:rPr>
        <w:t>If the original acquisition cost of a property item is not available at the time of transfer, an estimated value shall be agreed upon by both parties and that value shall be used in place of the original acquisition cost.</w:t>
      </w:r>
    </w:p>
    <w:p w:rsidR="00E57E12" w:rsidRPr="00F54E07" w:rsidRDefault="00E57E12" w:rsidP="005F57C4">
      <w:pPr>
        <w:pStyle w:val="ListParagraph"/>
        <w:numPr>
          <w:ilvl w:val="0"/>
          <w:numId w:val="12"/>
        </w:numPr>
        <w:tabs>
          <w:tab w:val="left" w:pos="360"/>
        </w:tabs>
        <w:spacing w:before="120" w:after="120"/>
        <w:ind w:left="0" w:firstLine="0"/>
        <w:contextualSpacing w:val="0"/>
        <w:rPr>
          <w:rFonts w:ascii="Arial Narrow" w:hAnsi="Arial Narrow" w:cs="Arial"/>
          <w:b/>
          <w:sz w:val="22"/>
          <w:szCs w:val="22"/>
          <w:u w:val="single"/>
        </w:rPr>
      </w:pPr>
      <w:r w:rsidRPr="00F54E07">
        <w:rPr>
          <w:rFonts w:ascii="Arial Narrow" w:hAnsi="Arial Narrow" w:cs="Arial"/>
          <w:b/>
          <w:sz w:val="22"/>
          <w:szCs w:val="22"/>
          <w:u w:val="single"/>
        </w:rPr>
        <w:t xml:space="preserve">Property Items Purchased by </w:t>
      </w:r>
      <w:r w:rsidR="00666842" w:rsidRPr="00F54E07">
        <w:rPr>
          <w:rFonts w:ascii="Arial Narrow" w:hAnsi="Arial Narrow" w:cs="Arial"/>
          <w:b/>
          <w:sz w:val="22"/>
          <w:szCs w:val="22"/>
          <w:u w:val="single"/>
        </w:rPr>
        <w:t>the Managing Entity and Network Service Providers</w:t>
      </w:r>
    </w:p>
    <w:p w:rsidR="00226E47" w:rsidRPr="005F57C4" w:rsidRDefault="005F57C4" w:rsidP="005F57C4">
      <w:pPr>
        <w:pStyle w:val="ListParagraph"/>
        <w:numPr>
          <w:ilvl w:val="1"/>
          <w:numId w:val="12"/>
        </w:numPr>
        <w:tabs>
          <w:tab w:val="left" w:pos="360"/>
        </w:tabs>
        <w:spacing w:before="120" w:after="120"/>
        <w:ind w:left="360" w:firstLine="0"/>
        <w:contextualSpacing w:val="0"/>
        <w:rPr>
          <w:rFonts w:ascii="Arial Narrow" w:hAnsi="Arial Narrow" w:cs="Arial"/>
          <w:sz w:val="22"/>
          <w:szCs w:val="22"/>
        </w:rPr>
      </w:pPr>
      <w:r w:rsidRPr="005F57C4">
        <w:rPr>
          <w:rFonts w:ascii="Arial Narrow" w:hAnsi="Arial Narrow" w:cs="Arial"/>
          <w:sz w:val="22"/>
          <w:szCs w:val="22"/>
        </w:rPr>
        <w:t xml:space="preserve">If any property is purchased with funds provided by this contract, prior approval must be obtained from the contract manager in accordance with </w:t>
      </w:r>
      <w:r w:rsidRPr="007C28A7">
        <w:rPr>
          <w:rFonts w:ascii="Arial Narrow" w:hAnsi="Arial Narrow" w:cs="Arial"/>
          <w:i/>
          <w:sz w:val="22"/>
          <w:szCs w:val="22"/>
        </w:rPr>
        <w:t xml:space="preserve">2 CFR 200.439(b)(1), (2), or (3) and CFOP 80-2, </w:t>
      </w:r>
      <w:r w:rsidRPr="005F57C4">
        <w:rPr>
          <w:rFonts w:ascii="Arial Narrow" w:hAnsi="Arial Narrow" w:cs="Arial"/>
          <w:sz w:val="22"/>
          <w:szCs w:val="22"/>
        </w:rPr>
        <w:t>as applicable. The provider shall complete an inventory of all such property, and shall submit a complete inventory of all such property to the department</w:t>
      </w:r>
      <w:r w:rsidR="00E57E12" w:rsidRPr="005F57C4">
        <w:rPr>
          <w:rFonts w:ascii="Arial Narrow" w:hAnsi="Arial Narrow" w:cs="Arial"/>
          <w:sz w:val="22"/>
          <w:szCs w:val="22"/>
        </w:rPr>
        <w:t>.</w:t>
      </w:r>
    </w:p>
    <w:p w:rsidR="00E57E12" w:rsidRPr="005F57C4" w:rsidRDefault="00E57E12" w:rsidP="005F57C4">
      <w:pPr>
        <w:pStyle w:val="ListParagraph"/>
        <w:numPr>
          <w:ilvl w:val="1"/>
          <w:numId w:val="12"/>
        </w:numPr>
        <w:tabs>
          <w:tab w:val="left" w:pos="360"/>
        </w:tabs>
        <w:spacing w:before="120" w:after="120"/>
        <w:ind w:left="360" w:firstLine="0"/>
        <w:contextualSpacing w:val="0"/>
        <w:rPr>
          <w:rFonts w:ascii="Arial Narrow" w:hAnsi="Arial Narrow" w:cs="Arial"/>
          <w:sz w:val="22"/>
          <w:szCs w:val="22"/>
        </w:rPr>
      </w:pPr>
      <w:r w:rsidRPr="005F57C4">
        <w:rPr>
          <w:rFonts w:ascii="Arial Narrow" w:hAnsi="Arial Narrow" w:cs="Arial"/>
          <w:sz w:val="22"/>
          <w:szCs w:val="22"/>
        </w:rPr>
        <w:t xml:space="preserve">The inventory shall include, at a minimum, a description of the property, </w:t>
      </w:r>
      <w:r w:rsidR="009D2D67">
        <w:rPr>
          <w:rFonts w:ascii="Arial Narrow" w:hAnsi="Arial Narrow" w:cs="Arial"/>
          <w:sz w:val="22"/>
          <w:szCs w:val="22"/>
        </w:rPr>
        <w:t xml:space="preserve">the DCF or ME Property Number, </w:t>
      </w:r>
      <w:r w:rsidRPr="005F57C4">
        <w:rPr>
          <w:rFonts w:ascii="Arial Narrow" w:hAnsi="Arial Narrow" w:cs="Arial"/>
          <w:sz w:val="22"/>
          <w:szCs w:val="22"/>
        </w:rPr>
        <w:t>model number, manufacturer’s serial number, acquisition date, original acquisition cost, current location,</w:t>
      </w:r>
      <w:r w:rsidR="005F57C4">
        <w:rPr>
          <w:rFonts w:ascii="Arial Narrow" w:hAnsi="Arial Narrow" w:cs="Arial"/>
          <w:sz w:val="22"/>
          <w:szCs w:val="22"/>
        </w:rPr>
        <w:t xml:space="preserve"> condition</w:t>
      </w:r>
      <w:r w:rsidRPr="005F57C4">
        <w:rPr>
          <w:rFonts w:ascii="Arial Narrow" w:hAnsi="Arial Narrow" w:cs="Arial"/>
          <w:sz w:val="22"/>
          <w:szCs w:val="22"/>
        </w:rPr>
        <w:t xml:space="preserve"> and clearly reflect any replacement or disposition of the property.  Provide funding source and information needed to calculate the federal and/or state share of its cost, if applicable.</w:t>
      </w:r>
    </w:p>
    <w:p w:rsidR="00E57E12" w:rsidRPr="00F54E07" w:rsidRDefault="00E57E12" w:rsidP="005F57C4">
      <w:pPr>
        <w:pStyle w:val="ListParagraph"/>
        <w:numPr>
          <w:ilvl w:val="0"/>
          <w:numId w:val="12"/>
        </w:numPr>
        <w:tabs>
          <w:tab w:val="left" w:pos="360"/>
        </w:tabs>
        <w:spacing w:before="120" w:after="120"/>
        <w:ind w:left="0" w:firstLine="0"/>
        <w:contextualSpacing w:val="0"/>
        <w:rPr>
          <w:rFonts w:ascii="Arial Narrow" w:hAnsi="Arial Narrow" w:cs="Arial"/>
          <w:b/>
          <w:sz w:val="22"/>
          <w:szCs w:val="22"/>
          <w:u w:val="single"/>
        </w:rPr>
      </w:pPr>
      <w:r w:rsidRPr="00F54E07">
        <w:rPr>
          <w:rFonts w:ascii="Arial Narrow" w:hAnsi="Arial Narrow" w:cs="Arial"/>
          <w:b/>
          <w:sz w:val="22"/>
          <w:szCs w:val="22"/>
          <w:u w:val="single"/>
        </w:rPr>
        <w:t>Disposition</w:t>
      </w:r>
    </w:p>
    <w:p w:rsidR="00E57E12" w:rsidRPr="00F54E07" w:rsidRDefault="00E57E12" w:rsidP="005F57C4">
      <w:pPr>
        <w:spacing w:before="120" w:after="120"/>
        <w:ind w:left="360"/>
        <w:rPr>
          <w:rFonts w:ascii="Arial Narrow" w:hAnsi="Arial Narrow" w:cs="Arial"/>
          <w:color w:val="000000"/>
          <w:sz w:val="22"/>
          <w:szCs w:val="22"/>
        </w:rPr>
      </w:pPr>
      <w:r w:rsidRPr="00F54E07">
        <w:rPr>
          <w:rFonts w:ascii="Arial Narrow" w:hAnsi="Arial Narrow" w:cs="Arial"/>
          <w:sz w:val="22"/>
          <w:szCs w:val="22"/>
        </w:rPr>
        <w:t>If the provider replaces or disposes of property transferred to or purchased by the provider pursuant to this contract, the provider is required to provide accurate and complete information pertaining to replacement or disposition of the property on the provider’s annual inventory as required by paragraphs 2.</w:t>
      </w:r>
      <w:r w:rsidR="009D2D67">
        <w:rPr>
          <w:rFonts w:ascii="Arial Narrow" w:hAnsi="Arial Narrow" w:cs="Arial"/>
          <w:sz w:val="22"/>
          <w:szCs w:val="22"/>
        </w:rPr>
        <w:t>b</w:t>
      </w:r>
      <w:r w:rsidRPr="00F54E07">
        <w:rPr>
          <w:rFonts w:ascii="Arial Narrow" w:hAnsi="Arial Narrow" w:cs="Arial"/>
          <w:sz w:val="22"/>
          <w:szCs w:val="22"/>
        </w:rPr>
        <w:t>. and 3.</w:t>
      </w:r>
      <w:r w:rsidR="009D2D67">
        <w:rPr>
          <w:rFonts w:ascii="Arial Narrow" w:hAnsi="Arial Narrow" w:cs="Arial"/>
          <w:sz w:val="22"/>
          <w:szCs w:val="22"/>
        </w:rPr>
        <w:t>b</w:t>
      </w:r>
      <w:r w:rsidRPr="00F54E07">
        <w:rPr>
          <w:rFonts w:ascii="Arial Narrow" w:hAnsi="Arial Narrow" w:cs="Arial"/>
          <w:sz w:val="22"/>
          <w:szCs w:val="22"/>
        </w:rPr>
        <w:t>.</w:t>
      </w:r>
    </w:p>
    <w:p w:rsidR="00226E47" w:rsidRPr="00F54E07" w:rsidRDefault="00E57E12" w:rsidP="005F57C4">
      <w:pPr>
        <w:pStyle w:val="ListParagraph"/>
        <w:keepNext/>
        <w:numPr>
          <w:ilvl w:val="0"/>
          <w:numId w:val="12"/>
        </w:numPr>
        <w:tabs>
          <w:tab w:val="left" w:pos="360"/>
        </w:tabs>
        <w:spacing w:before="120" w:after="120"/>
        <w:ind w:left="0" w:firstLine="0"/>
        <w:contextualSpacing w:val="0"/>
        <w:rPr>
          <w:rFonts w:ascii="Arial Narrow" w:hAnsi="Arial Narrow" w:cs="Arial"/>
          <w:b/>
          <w:sz w:val="22"/>
          <w:szCs w:val="22"/>
          <w:u w:val="single"/>
        </w:rPr>
      </w:pPr>
      <w:r w:rsidRPr="00F54E07">
        <w:rPr>
          <w:rFonts w:ascii="Arial Narrow" w:hAnsi="Arial Narrow" w:cs="Arial"/>
          <w:b/>
          <w:sz w:val="22"/>
          <w:szCs w:val="22"/>
          <w:u w:val="single"/>
        </w:rPr>
        <w:lastRenderedPageBreak/>
        <w:t>Termination</w:t>
      </w:r>
    </w:p>
    <w:p w:rsidR="00E57E12" w:rsidRPr="00F54E07" w:rsidRDefault="00E57E12" w:rsidP="005F57C4">
      <w:pPr>
        <w:pStyle w:val="ListParagraph"/>
        <w:numPr>
          <w:ilvl w:val="0"/>
          <w:numId w:val="14"/>
        </w:numPr>
        <w:spacing w:before="120" w:after="120"/>
        <w:ind w:left="360" w:firstLine="0"/>
        <w:contextualSpacing w:val="0"/>
        <w:rPr>
          <w:rFonts w:ascii="Arial Narrow" w:hAnsi="Arial Narrow" w:cs="Arial"/>
          <w:sz w:val="22"/>
          <w:szCs w:val="22"/>
          <w:u w:val="single"/>
        </w:rPr>
      </w:pPr>
      <w:r w:rsidRPr="00F54E07">
        <w:rPr>
          <w:rFonts w:ascii="Arial Narrow" w:hAnsi="Arial Narrow" w:cs="Arial"/>
          <w:sz w:val="22"/>
          <w:szCs w:val="22"/>
        </w:rPr>
        <w:t xml:space="preserve">The provider shall furnish a closeout inventory no later </w:t>
      </w:r>
      <w:r w:rsidRPr="00F54E07">
        <w:rPr>
          <w:rFonts w:ascii="Arial Narrow" w:hAnsi="Arial Narrow" w:cs="Arial"/>
          <w:color w:val="000000"/>
          <w:sz w:val="22"/>
          <w:szCs w:val="22"/>
        </w:rPr>
        <w:t xml:space="preserve">than 30 days before the completion or termination of this contract.  </w:t>
      </w:r>
      <w:r w:rsidRPr="00F54E07">
        <w:rPr>
          <w:rFonts w:ascii="Arial Narrow" w:hAnsi="Arial Narrow" w:cs="Arial"/>
          <w:sz w:val="22"/>
          <w:szCs w:val="22"/>
        </w:rPr>
        <w:t>The closeout inventory shall include all property transferred to or purchased by the provider.</w:t>
      </w:r>
      <w:r w:rsidR="00B74E02" w:rsidRPr="00F54E07">
        <w:rPr>
          <w:rFonts w:ascii="Arial Narrow" w:hAnsi="Arial Narrow" w:cs="Arial"/>
          <w:sz w:val="22"/>
          <w:szCs w:val="22"/>
        </w:rPr>
        <w:t xml:space="preserve"> The provider shall use Contract provider property Form.</w:t>
      </w:r>
    </w:p>
    <w:p w:rsidR="00E57E12" w:rsidRPr="00F54E07" w:rsidRDefault="00E57E12" w:rsidP="005F57C4">
      <w:pPr>
        <w:pStyle w:val="ListParagraph"/>
        <w:numPr>
          <w:ilvl w:val="0"/>
          <w:numId w:val="14"/>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The closeout inventory shall contain, at a minimum, the same annual inventory information required by paragraphs 2.c. and 3.</w:t>
      </w:r>
      <w:r w:rsidR="00D8379F" w:rsidRPr="00F54E07">
        <w:rPr>
          <w:rFonts w:ascii="Arial Narrow" w:hAnsi="Arial Narrow" w:cs="Arial"/>
          <w:sz w:val="22"/>
          <w:szCs w:val="22"/>
        </w:rPr>
        <w:t>a</w:t>
      </w:r>
      <w:r w:rsidRPr="00F54E07">
        <w:rPr>
          <w:rFonts w:ascii="Arial Narrow" w:hAnsi="Arial Narrow" w:cs="Arial"/>
          <w:sz w:val="22"/>
          <w:szCs w:val="22"/>
        </w:rPr>
        <w:t>.</w:t>
      </w:r>
    </w:p>
    <w:p w:rsidR="00E57E12" w:rsidRPr="00F54E07" w:rsidRDefault="00E57E12" w:rsidP="005F57C4">
      <w:pPr>
        <w:pStyle w:val="ListParagraph"/>
        <w:numPr>
          <w:ilvl w:val="0"/>
          <w:numId w:val="14"/>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 xml:space="preserve">Title (ownership) to and possession of all property transferred to or purchased by the provider pursuant to this contract shall be vested in the department upon completion or termination of this contract.  Upon return to the department, all property must be in good working order.  The provider hereby agrees to pay the cost of transferring title to and possession of any property for which ownership is evidenced by a certificate of title.  </w:t>
      </w:r>
    </w:p>
    <w:p w:rsidR="00E57E12" w:rsidRPr="00F54E07" w:rsidRDefault="00E57E12" w:rsidP="005F57C4">
      <w:pPr>
        <w:pStyle w:val="ListParagraph"/>
        <w:numPr>
          <w:ilvl w:val="0"/>
          <w:numId w:val="14"/>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The provider shall be responsible for repaying to the department the replacement cost of any property inventoried and not returned to the department upon completion or termination of this contract.</w:t>
      </w:r>
    </w:p>
    <w:p w:rsidR="00E57E12" w:rsidRPr="00F54E07" w:rsidRDefault="00E57E12" w:rsidP="005F57C4">
      <w:pPr>
        <w:pStyle w:val="ListParagraph"/>
        <w:keepNext/>
        <w:numPr>
          <w:ilvl w:val="0"/>
          <w:numId w:val="12"/>
        </w:numPr>
        <w:tabs>
          <w:tab w:val="left" w:pos="360"/>
        </w:tabs>
        <w:spacing w:before="120" w:after="120"/>
        <w:ind w:left="0" w:firstLine="0"/>
        <w:contextualSpacing w:val="0"/>
        <w:rPr>
          <w:rFonts w:ascii="Arial Narrow" w:hAnsi="Arial Narrow" w:cs="Arial"/>
          <w:b/>
          <w:sz w:val="22"/>
          <w:szCs w:val="22"/>
          <w:u w:val="single"/>
        </w:rPr>
      </w:pPr>
      <w:r w:rsidRPr="00F54E07">
        <w:rPr>
          <w:rFonts w:ascii="Arial Narrow" w:hAnsi="Arial Narrow" w:cs="Arial"/>
          <w:b/>
          <w:sz w:val="22"/>
          <w:szCs w:val="22"/>
          <w:u w:val="single"/>
        </w:rPr>
        <w:t>General</w:t>
      </w:r>
    </w:p>
    <w:p w:rsidR="00E57E12" w:rsidRPr="00F54E07" w:rsidRDefault="00E57E12" w:rsidP="005F57C4">
      <w:pPr>
        <w:pStyle w:val="ListParagraph"/>
        <w:numPr>
          <w:ilvl w:val="0"/>
          <w:numId w:val="15"/>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 xml:space="preserve">All inventories required by </w:t>
      </w:r>
      <w:r w:rsidRPr="00601144">
        <w:rPr>
          <w:rFonts w:ascii="Arial Narrow" w:hAnsi="Arial Narrow" w:cs="Arial"/>
          <w:sz w:val="22"/>
          <w:szCs w:val="22"/>
        </w:rPr>
        <w:t>th</w:t>
      </w:r>
      <w:r w:rsidR="00601144">
        <w:rPr>
          <w:rFonts w:ascii="Arial Narrow" w:hAnsi="Arial Narrow" w:cs="Arial"/>
          <w:sz w:val="22"/>
          <w:szCs w:val="22"/>
        </w:rPr>
        <w:t>i</w:t>
      </w:r>
      <w:r w:rsidRPr="00601144">
        <w:rPr>
          <w:rFonts w:ascii="Arial Narrow" w:hAnsi="Arial Narrow" w:cs="Arial"/>
          <w:sz w:val="22"/>
          <w:szCs w:val="22"/>
        </w:rPr>
        <w:t xml:space="preserve">s </w:t>
      </w:r>
      <w:r w:rsidR="00601144">
        <w:rPr>
          <w:rFonts w:ascii="Arial Narrow" w:hAnsi="Arial Narrow" w:cs="Arial"/>
          <w:sz w:val="22"/>
          <w:szCs w:val="22"/>
        </w:rPr>
        <w:t xml:space="preserve">guidance </w:t>
      </w:r>
      <w:r w:rsidRPr="00F54E07">
        <w:rPr>
          <w:rFonts w:ascii="Arial Narrow" w:hAnsi="Arial Narrow" w:cs="Arial"/>
          <w:sz w:val="22"/>
          <w:szCs w:val="22"/>
        </w:rPr>
        <w:t>shall be updated and accurate to the date of inventory certification.</w:t>
      </w:r>
    </w:p>
    <w:p w:rsidR="00E57E12" w:rsidRPr="00F54E07" w:rsidRDefault="00E57E12" w:rsidP="005F57C4">
      <w:pPr>
        <w:pStyle w:val="ListParagraph"/>
        <w:numPr>
          <w:ilvl w:val="0"/>
          <w:numId w:val="15"/>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During the term of this contract, the provider is responsible for insuring all property transferred to or purchased by the provider pursuant to this contract and for maintaining such property in good working order.</w:t>
      </w:r>
    </w:p>
    <w:p w:rsidR="00E57E12" w:rsidRPr="00F54E07" w:rsidRDefault="00E57E12" w:rsidP="005F57C4">
      <w:pPr>
        <w:pStyle w:val="ListParagraph"/>
        <w:numPr>
          <w:ilvl w:val="0"/>
          <w:numId w:val="15"/>
        </w:numPr>
        <w:spacing w:before="120" w:after="120"/>
        <w:ind w:left="360" w:firstLine="0"/>
        <w:contextualSpacing w:val="0"/>
        <w:rPr>
          <w:rFonts w:ascii="Arial Narrow" w:hAnsi="Arial Narrow" w:cs="Arial"/>
          <w:sz w:val="22"/>
          <w:szCs w:val="22"/>
        </w:rPr>
      </w:pPr>
      <w:r w:rsidRPr="00F54E07">
        <w:rPr>
          <w:rFonts w:ascii="Arial Narrow" w:hAnsi="Arial Narrow" w:cs="Arial"/>
          <w:sz w:val="22"/>
          <w:szCs w:val="22"/>
        </w:rPr>
        <w:t>The provider hereby agrees to indemnify the department against any claim or loss arising out of the operations of any motor vehicle transferred to or purchased by the provider pursuant to this contract.</w:t>
      </w:r>
    </w:p>
    <w:sectPr w:rsidR="00E57E12" w:rsidRPr="00F54E07" w:rsidSect="00500F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9F" w:rsidRDefault="00D8379F">
      <w:r>
        <w:separator/>
      </w:r>
    </w:p>
  </w:endnote>
  <w:endnote w:type="continuationSeparator" w:id="0">
    <w:p w:rsidR="00D8379F" w:rsidRDefault="00D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CD" w:rsidRDefault="00A3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830323509"/>
      <w:docPartObj>
        <w:docPartGallery w:val="Page Numbers (Bottom of Page)"/>
        <w:docPartUnique/>
      </w:docPartObj>
    </w:sdtPr>
    <w:sdtEndPr>
      <w:rPr>
        <w:noProof/>
      </w:rPr>
    </w:sdtEndPr>
    <w:sdtContent>
      <w:p w:rsidR="00F2648A" w:rsidRPr="00F54E07" w:rsidRDefault="00BD7B2F" w:rsidP="00226E47">
        <w:pPr>
          <w:pStyle w:val="Footer"/>
          <w:jc w:val="center"/>
          <w:rPr>
            <w:rFonts w:ascii="Arial Narrow" w:hAnsi="Arial Narrow"/>
          </w:rPr>
        </w:pPr>
        <w:r w:rsidRPr="00F54E07">
          <w:rPr>
            <w:rFonts w:ascii="Arial Narrow" w:hAnsi="Arial Narrow"/>
          </w:rPr>
          <w:fldChar w:fldCharType="begin"/>
        </w:r>
        <w:r w:rsidR="00F2648A" w:rsidRPr="00F54E07">
          <w:rPr>
            <w:rFonts w:ascii="Arial Narrow" w:hAnsi="Arial Narrow"/>
          </w:rPr>
          <w:instrText xml:space="preserve"> PAGE   \* MERGEFORMAT </w:instrText>
        </w:r>
        <w:r w:rsidRPr="00F54E07">
          <w:rPr>
            <w:rFonts w:ascii="Arial Narrow" w:hAnsi="Arial Narrow"/>
          </w:rPr>
          <w:fldChar w:fldCharType="separate"/>
        </w:r>
        <w:r w:rsidR="00A37627">
          <w:rPr>
            <w:rFonts w:ascii="Arial Narrow" w:hAnsi="Arial Narrow"/>
            <w:noProof/>
          </w:rPr>
          <w:t>2</w:t>
        </w:r>
        <w:r w:rsidRPr="00F54E07">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457458233"/>
      <w:docPartObj>
        <w:docPartGallery w:val="Page Numbers (Bottom of Page)"/>
        <w:docPartUnique/>
      </w:docPartObj>
    </w:sdtPr>
    <w:sdtEndPr>
      <w:rPr>
        <w:noProof/>
      </w:rPr>
    </w:sdtEndPr>
    <w:sdtContent>
      <w:p w:rsidR="00500F5B" w:rsidRPr="00F54E07" w:rsidRDefault="00500F5B" w:rsidP="00500F5B">
        <w:pPr>
          <w:pStyle w:val="Footer"/>
          <w:jc w:val="center"/>
          <w:rPr>
            <w:rFonts w:ascii="Arial Narrow" w:hAnsi="Arial Narrow"/>
          </w:rPr>
        </w:pPr>
        <w:r w:rsidRPr="00F54E07">
          <w:rPr>
            <w:rFonts w:ascii="Arial Narrow" w:hAnsi="Arial Narrow"/>
          </w:rPr>
          <w:fldChar w:fldCharType="begin"/>
        </w:r>
        <w:r w:rsidRPr="00F54E07">
          <w:rPr>
            <w:rFonts w:ascii="Arial Narrow" w:hAnsi="Arial Narrow"/>
          </w:rPr>
          <w:instrText xml:space="preserve"> PAGE   \* MERGEFORMAT </w:instrText>
        </w:r>
        <w:r w:rsidRPr="00F54E07">
          <w:rPr>
            <w:rFonts w:ascii="Arial Narrow" w:hAnsi="Arial Narrow"/>
          </w:rPr>
          <w:fldChar w:fldCharType="separate"/>
        </w:r>
        <w:r w:rsidR="00A37627">
          <w:rPr>
            <w:rFonts w:ascii="Arial Narrow" w:hAnsi="Arial Narrow"/>
            <w:noProof/>
          </w:rPr>
          <w:t>1</w:t>
        </w:r>
        <w:r w:rsidRPr="00F54E07">
          <w:rPr>
            <w:rFonts w:ascii="Arial Narrow" w:hAnsi="Arial Narrow"/>
            <w:noProof/>
          </w:rPr>
          <w:fldChar w:fldCharType="end"/>
        </w:r>
      </w:p>
    </w:sdtContent>
  </w:sdt>
  <w:p w:rsidR="00BD3BCD" w:rsidRPr="00500F5B" w:rsidRDefault="00500F5B" w:rsidP="00500F5B">
    <w:pPr>
      <w:pStyle w:val="Footer"/>
      <w:jc w:val="right"/>
      <w:rPr>
        <w:rFonts w:ascii="Arial Narrow" w:hAnsi="Arial Narrow"/>
      </w:rPr>
    </w:pPr>
    <w:r w:rsidRPr="00500F5B">
      <w:rPr>
        <w:rFonts w:ascii="Arial Narrow" w:hAnsi="Arial Narrow"/>
      </w:rPr>
      <w:t>Effective: July 1,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9F" w:rsidRDefault="00D8379F">
      <w:r>
        <w:separator/>
      </w:r>
    </w:p>
  </w:footnote>
  <w:footnote w:type="continuationSeparator" w:id="0">
    <w:p w:rsidR="00D8379F" w:rsidRDefault="00D8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CD" w:rsidRDefault="00A3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A4" w:rsidRPr="00500F5B" w:rsidRDefault="00A37627" w:rsidP="00500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CD" w:rsidRPr="00500F5B" w:rsidRDefault="00500F5B" w:rsidP="00500F5B">
    <w:pPr>
      <w:pBdr>
        <w:bottom w:val="single" w:sz="4" w:space="1" w:color="auto"/>
      </w:pBdr>
      <w:tabs>
        <w:tab w:val="center" w:pos="4320"/>
        <w:tab w:val="right" w:pos="9360"/>
      </w:tabs>
      <w:rPr>
        <w:rFonts w:ascii="Arial Narrow" w:hAnsi="Arial Narrow" w:cs="Arial"/>
        <w:sz w:val="24"/>
        <w:szCs w:val="24"/>
      </w:rPr>
    </w:pPr>
    <w:r w:rsidRPr="00F54E07">
      <w:rPr>
        <w:rFonts w:ascii="Arial Narrow" w:hAnsi="Arial Narrow"/>
        <w:b/>
        <w:bCs/>
        <w:noProof/>
        <w:sz w:val="22"/>
        <w:szCs w:val="22"/>
      </w:rPr>
      <w:drawing>
        <wp:anchor distT="0" distB="0" distL="114300" distR="114300" simplePos="0" relativeHeight="251671040" behindDoc="1" locked="0" layoutInCell="1" allowOverlap="1" wp14:anchorId="05ACAA04" wp14:editId="4C031E24">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E07">
      <w:rPr>
        <w:rFonts w:ascii="Arial Narrow" w:hAnsi="Arial Narrow" w:cs="Arial"/>
        <w:sz w:val="24"/>
        <w:szCs w:val="24"/>
      </w:rPr>
      <w:t xml:space="preserve">Program Guidance for Managing Entity Contracts </w:t>
    </w:r>
    <w:r w:rsidRPr="00F54E07">
      <w:rPr>
        <w:rFonts w:ascii="Arial Narrow"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1ACA0C9E"/>
    <w:lvl w:ilvl="0" w:tplc="EA30B214">
      <w:start w:val="1"/>
      <w:numFmt w:val="decimal"/>
      <w:lvlText w:val="%1."/>
      <w:lvlJc w:val="left"/>
      <w:pPr>
        <w:ind w:left="720" w:hanging="360"/>
      </w:pPr>
      <w:rPr>
        <w:b/>
      </w:rPr>
    </w:lvl>
    <w:lvl w:ilvl="1" w:tplc="7D2464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abstractNumId w:val="13"/>
  </w:num>
  <w:num w:numId="2">
    <w:abstractNumId w:val="0"/>
  </w:num>
  <w:num w:numId="3">
    <w:abstractNumId w:val="12"/>
  </w:num>
  <w:num w:numId="4">
    <w:abstractNumId w:val="7"/>
  </w:num>
  <w:num w:numId="5">
    <w:abstractNumId w:val="11"/>
  </w:num>
  <w:num w:numId="6">
    <w:abstractNumId w:val="2"/>
  </w:num>
  <w:num w:numId="7">
    <w:abstractNumId w:val="14"/>
  </w:num>
  <w:num w:numId="8">
    <w:abstractNumId w:val="9"/>
  </w:num>
  <w:num w:numId="9">
    <w:abstractNumId w:val="8"/>
  </w:num>
  <w:num w:numId="10">
    <w:abstractNumId w:val="5"/>
  </w:num>
  <w:num w:numId="11">
    <w:abstractNumId w:val="4"/>
  </w:num>
  <w:num w:numId="12">
    <w:abstractNumId w:val="6"/>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12"/>
    <w:rsid w:val="00061FE6"/>
    <w:rsid w:val="000A486B"/>
    <w:rsid w:val="000E58FD"/>
    <w:rsid w:val="000F14A1"/>
    <w:rsid w:val="0018263E"/>
    <w:rsid w:val="00182F35"/>
    <w:rsid w:val="001F23B7"/>
    <w:rsid w:val="00226E47"/>
    <w:rsid w:val="00261750"/>
    <w:rsid w:val="00264F35"/>
    <w:rsid w:val="00327EB4"/>
    <w:rsid w:val="003758B6"/>
    <w:rsid w:val="003F3979"/>
    <w:rsid w:val="0041580B"/>
    <w:rsid w:val="004357EC"/>
    <w:rsid w:val="004700C5"/>
    <w:rsid w:val="00500F5B"/>
    <w:rsid w:val="00505CC3"/>
    <w:rsid w:val="005F57C4"/>
    <w:rsid w:val="00601144"/>
    <w:rsid w:val="006171A2"/>
    <w:rsid w:val="00666842"/>
    <w:rsid w:val="00677551"/>
    <w:rsid w:val="006F1811"/>
    <w:rsid w:val="007337E3"/>
    <w:rsid w:val="007438E2"/>
    <w:rsid w:val="00746F02"/>
    <w:rsid w:val="007A6871"/>
    <w:rsid w:val="007C28A7"/>
    <w:rsid w:val="007D670E"/>
    <w:rsid w:val="008E5A9D"/>
    <w:rsid w:val="008F4836"/>
    <w:rsid w:val="0095136A"/>
    <w:rsid w:val="009D2D67"/>
    <w:rsid w:val="00A37627"/>
    <w:rsid w:val="00A66D0E"/>
    <w:rsid w:val="00A66EB7"/>
    <w:rsid w:val="00AA2208"/>
    <w:rsid w:val="00AF6B3C"/>
    <w:rsid w:val="00B52DA7"/>
    <w:rsid w:val="00B53F97"/>
    <w:rsid w:val="00B74E02"/>
    <w:rsid w:val="00B74F1B"/>
    <w:rsid w:val="00BD7B2F"/>
    <w:rsid w:val="00C3267E"/>
    <w:rsid w:val="00C34133"/>
    <w:rsid w:val="00C81071"/>
    <w:rsid w:val="00C87934"/>
    <w:rsid w:val="00CD06D8"/>
    <w:rsid w:val="00D0483D"/>
    <w:rsid w:val="00D8379F"/>
    <w:rsid w:val="00DD08B3"/>
    <w:rsid w:val="00DF5F15"/>
    <w:rsid w:val="00E32E32"/>
    <w:rsid w:val="00E57E12"/>
    <w:rsid w:val="00ED1751"/>
    <w:rsid w:val="00EF33FE"/>
    <w:rsid w:val="00F0720C"/>
    <w:rsid w:val="00F2648A"/>
    <w:rsid w:val="00F26B1C"/>
    <w:rsid w:val="00F34BB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F59F946-D608-4289-83A0-C35C824D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creator>giacomo-gina</dc:creator>
  <cp:lastModifiedBy>Micallef, Jimmers</cp:lastModifiedBy>
  <cp:revision>2</cp:revision>
  <cp:lastPrinted>2015-11-03T23:26:00Z</cp:lastPrinted>
  <dcterms:created xsi:type="dcterms:W3CDTF">2018-06-01T21:17:00Z</dcterms:created>
  <dcterms:modified xsi:type="dcterms:W3CDTF">2018-06-01T21:17:00Z</dcterms:modified>
</cp:coreProperties>
</file>