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7117" w14:textId="77777777" w:rsidR="00696ACC" w:rsidRPr="00696ACC" w:rsidRDefault="00696ACC" w:rsidP="00696ACC">
      <w:pPr>
        <w:spacing w:after="0" w:line="240" w:lineRule="auto"/>
        <w:jc w:val="center"/>
        <w:rPr>
          <w:rFonts w:ascii="Arial" w:eastAsia="Times New Roman" w:hAnsi="Arial" w:cs="Times New Roman"/>
          <w:b/>
          <w:bCs/>
          <w:kern w:val="0"/>
          <w:szCs w:val="20"/>
          <w14:ligatures w14:val="none"/>
        </w:rPr>
      </w:pPr>
      <w:r w:rsidRPr="00696ACC">
        <w:rPr>
          <w:rFonts w:ascii="Arial" w:eastAsia="Times New Roman" w:hAnsi="Arial" w:cs="Times New Roman"/>
          <w:b/>
          <w:bCs/>
          <w:kern w:val="0"/>
          <w:szCs w:val="20"/>
          <w14:ligatures w14:val="none"/>
        </w:rPr>
        <w:t>EXHIBIT F – METHOD OF PAYMENT</w:t>
      </w:r>
    </w:p>
    <w:p w14:paraId="4ECD3BAC" w14:textId="77777777" w:rsidR="00696ACC" w:rsidRPr="00696ACC" w:rsidRDefault="00696ACC" w:rsidP="002B5A9F">
      <w:pPr>
        <w:numPr>
          <w:ilvl w:val="0"/>
          <w:numId w:val="1"/>
        </w:numPr>
        <w:spacing w:before="60" w:after="60" w:line="240" w:lineRule="auto"/>
        <w:ind w:left="0" w:firstLine="0"/>
        <w:outlineLvl w:val="0"/>
        <w:rPr>
          <w:rFonts w:ascii="Arial" w:eastAsia="Calibri" w:hAnsi="Arial" w:cs="Arial"/>
          <w:b/>
          <w:bCs/>
          <w:caps/>
          <w:kern w:val="0"/>
          <w:u w:val="single"/>
          <w14:ligatures w14:val="none"/>
        </w:rPr>
      </w:pPr>
      <w:r w:rsidRPr="00696ACC">
        <w:rPr>
          <w:rFonts w:ascii="Arial" w:eastAsia="Calibri" w:hAnsi="Arial" w:cs="Arial"/>
          <w:b/>
          <w:bCs/>
          <w:caps/>
          <w:kern w:val="0"/>
          <w:u w:val="single"/>
          <w14:ligatures w14:val="none"/>
        </w:rPr>
        <w:t xml:space="preserve">Funding </w:t>
      </w:r>
    </w:p>
    <w:p w14:paraId="327717CB" w14:textId="77777777" w:rsidR="00696ACC" w:rsidRPr="00696ACC" w:rsidRDefault="00696ACC" w:rsidP="002B5A9F">
      <w:pPr>
        <w:numPr>
          <w:ilvl w:val="1"/>
          <w:numId w:val="2"/>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This advance fixed price, fixed payment Contract is comprised of federal and state funds, subject to reconciliation. </w:t>
      </w:r>
      <w:r w:rsidRPr="00696ACC">
        <w:rPr>
          <w:rFonts w:ascii="Arial" w:eastAsia="Calibri" w:hAnsi="Arial" w:cs="Arial"/>
          <w:b/>
          <w:bCs/>
          <w:kern w:val="0"/>
          <w14:ligatures w14:val="none"/>
        </w:rPr>
        <w:t xml:space="preserve">Exhibit F1 </w:t>
      </w:r>
      <w:r w:rsidRPr="00696ACC">
        <w:rPr>
          <w:rFonts w:ascii="Arial" w:eastAsia="Calibri" w:hAnsi="Arial" w:cs="Arial"/>
          <w:kern w:val="0"/>
          <w14:ligatures w14:val="none"/>
        </w:rPr>
        <w:t xml:space="preserve">identifies the type and amount of funding provided. At the beginning of each fiscal year, the </w:t>
      </w:r>
      <w:r w:rsidRPr="00696ACC">
        <w:rPr>
          <w:rFonts w:ascii="Arial" w:eastAsia="Calibri" w:hAnsi="Arial" w:cs="Arial"/>
          <w:b/>
          <w:bCs/>
          <w:kern w:val="0"/>
          <w14:ligatures w14:val="none"/>
        </w:rPr>
        <w:t xml:space="preserve">Exhibit F1 </w:t>
      </w:r>
      <w:r w:rsidRPr="00696ACC">
        <w:rPr>
          <w:rFonts w:ascii="Arial" w:eastAsia="Calibri" w:hAnsi="Arial" w:cs="Arial"/>
          <w:kern w:val="0"/>
          <w14:ligatures w14:val="none"/>
        </w:rPr>
        <w:t xml:space="preserve">will be amended into this Contract, and the total Contract amount in </w:t>
      </w:r>
      <w:r w:rsidRPr="00696ACC">
        <w:rPr>
          <w:rFonts w:ascii="Arial" w:eastAsia="Calibri" w:hAnsi="Arial" w:cs="Arial"/>
          <w:b/>
          <w:bCs/>
          <w:kern w:val="0"/>
          <w14:ligatures w14:val="none"/>
        </w:rPr>
        <w:t>Table 8</w:t>
      </w:r>
      <w:r w:rsidRPr="00696ACC">
        <w:rPr>
          <w:rFonts w:ascii="Arial" w:eastAsia="Calibri" w:hAnsi="Arial" w:cs="Arial"/>
          <w:kern w:val="0"/>
          <w14:ligatures w14:val="none"/>
        </w:rPr>
        <w:t xml:space="preserve"> will be adjusted accordingly.</w:t>
      </w:r>
    </w:p>
    <w:p w14:paraId="1DD88636" w14:textId="77777777" w:rsidR="00696ACC" w:rsidRPr="00696ACC" w:rsidRDefault="00696ACC" w:rsidP="002B5A9F">
      <w:pPr>
        <w:numPr>
          <w:ilvl w:val="1"/>
          <w:numId w:val="3"/>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contract total dollar amount shall not exceed the amount specified in </w:t>
      </w:r>
      <w:r w:rsidRPr="00696ACC">
        <w:rPr>
          <w:rFonts w:ascii="Arial" w:eastAsia="Calibri" w:hAnsi="Arial" w:cs="Arial"/>
          <w:b/>
          <w:bCs/>
          <w:kern w:val="0"/>
          <w14:ligatures w14:val="none"/>
        </w:rPr>
        <w:t>Section 1.1</w:t>
      </w:r>
      <w:r w:rsidRPr="00696ACC">
        <w:rPr>
          <w:rFonts w:ascii="Arial" w:eastAsia="Calibri" w:hAnsi="Arial" w:cs="Arial"/>
          <w:kern w:val="0"/>
          <w14:ligatures w14:val="none"/>
        </w:rPr>
        <w:t xml:space="preserve">, subject to the availability of funds, as specified in </w:t>
      </w:r>
      <w:r w:rsidRPr="00696ACC">
        <w:rPr>
          <w:rFonts w:ascii="Arial" w:eastAsia="Calibri" w:hAnsi="Arial" w:cs="Arial"/>
          <w:b/>
          <w:bCs/>
          <w:kern w:val="0"/>
          <w14:ligatures w14:val="none"/>
        </w:rPr>
        <w:t>Table 8</w:t>
      </w:r>
      <w:r w:rsidRPr="00696ACC">
        <w:rPr>
          <w:rFonts w:ascii="Arial" w:eastAsia="Calibri" w:hAnsi="Arial" w:cs="Arial"/>
          <w:kern w:val="0"/>
          <w14:ligatures w14:val="none"/>
        </w:rPr>
        <w:t>.</w:t>
      </w:r>
    </w:p>
    <w:p w14:paraId="16A199B1" w14:textId="77777777" w:rsidR="00696ACC" w:rsidRPr="00696ACC" w:rsidRDefault="00696ACC" w:rsidP="00696ACC">
      <w:pPr>
        <w:spacing w:after="0" w:line="240" w:lineRule="auto"/>
        <w:jc w:val="both"/>
        <w:rPr>
          <w:rFonts w:ascii="Arial" w:eastAsia="Times New Roman" w:hAnsi="Arial" w:cs="Times New Roman"/>
          <w:kern w:val="0"/>
          <w:szCs w:val="20"/>
          <w14:ligatures w14:val="none"/>
        </w:rPr>
      </w:pPr>
    </w:p>
    <w:tbl>
      <w:tblPr>
        <w:tblStyle w:val="TableGrid"/>
        <w:tblW w:w="0" w:type="auto"/>
        <w:tblInd w:w="165" w:type="dxa"/>
        <w:tblBorders>
          <w:top w:val="inset" w:sz="8" w:space="0" w:color="auto"/>
          <w:left w:val="inset" w:sz="8" w:space="0" w:color="auto"/>
          <w:bottom w:val="inset" w:sz="8" w:space="0" w:color="auto"/>
          <w:right w:val="inset" w:sz="8" w:space="0" w:color="auto"/>
        </w:tblBorders>
        <w:tblLayout w:type="fixed"/>
        <w:tblLook w:val="04A0" w:firstRow="1" w:lastRow="0" w:firstColumn="1" w:lastColumn="0" w:noHBand="0" w:noVBand="1"/>
      </w:tblPr>
      <w:tblGrid>
        <w:gridCol w:w="1477"/>
        <w:gridCol w:w="2021"/>
        <w:gridCol w:w="1960"/>
        <w:gridCol w:w="1969"/>
        <w:gridCol w:w="2083"/>
      </w:tblGrid>
      <w:tr w:rsidR="00696ACC" w:rsidRPr="00696ACC" w14:paraId="03914729" w14:textId="77777777" w:rsidTr="002C60A0">
        <w:trPr>
          <w:trHeight w:val="315"/>
        </w:trPr>
        <w:tc>
          <w:tcPr>
            <w:tcW w:w="9510" w:type="dxa"/>
            <w:gridSpan w:val="5"/>
            <w:tcBorders>
              <w:top w:val="outset" w:sz="8" w:space="0" w:color="auto"/>
              <w:left w:val="outset" w:sz="8" w:space="0" w:color="auto"/>
              <w:bottom w:val="outset" w:sz="8" w:space="0" w:color="auto"/>
              <w:right w:val="outset" w:sz="8" w:space="0" w:color="auto"/>
            </w:tcBorders>
            <w:shd w:val="clear" w:color="auto" w:fill="D6E3BC"/>
            <w:tcMar>
              <w:left w:w="108" w:type="dxa"/>
              <w:right w:w="108" w:type="dxa"/>
            </w:tcMar>
          </w:tcPr>
          <w:p w14:paraId="5091C722" w14:textId="77777777" w:rsidR="00696ACC" w:rsidRPr="00696ACC" w:rsidRDefault="00696ACC" w:rsidP="00696ACC">
            <w:pPr>
              <w:ind w:left="360"/>
              <w:jc w:val="center"/>
              <w:rPr>
                <w:rFonts w:ascii="Arial Narrow" w:eastAsia="Arial Narrow" w:hAnsi="Arial Narrow" w:cs="Arial Narrow"/>
                <w:b/>
                <w:bCs/>
                <w:color w:val="000000"/>
                <w:szCs w:val="20"/>
              </w:rPr>
            </w:pPr>
            <w:r w:rsidRPr="00696ACC">
              <w:rPr>
                <w:rFonts w:ascii="Arial Narrow" w:eastAsia="Arial Narrow" w:hAnsi="Arial Narrow" w:cs="Arial Narrow"/>
                <w:b/>
                <w:bCs/>
                <w:color w:val="000000"/>
                <w:szCs w:val="20"/>
              </w:rPr>
              <w:t>Table 8 – Contract Funding</w:t>
            </w:r>
          </w:p>
        </w:tc>
      </w:tr>
      <w:tr w:rsidR="00696ACC" w:rsidRPr="00696ACC" w14:paraId="558F46FA" w14:textId="77777777" w:rsidTr="002C60A0">
        <w:trPr>
          <w:trHeight w:val="705"/>
        </w:trPr>
        <w:tc>
          <w:tcPr>
            <w:tcW w:w="1477" w:type="dxa"/>
            <w:tcBorders>
              <w:top w:val="outset" w:sz="8" w:space="0" w:color="auto"/>
              <w:left w:val="outset" w:sz="8" w:space="0" w:color="auto"/>
              <w:bottom w:val="outset" w:sz="8" w:space="0" w:color="auto"/>
              <w:right w:val="outset" w:sz="8" w:space="0" w:color="auto"/>
            </w:tcBorders>
            <w:shd w:val="clear" w:color="auto" w:fill="DBE5F1"/>
            <w:tcMar>
              <w:left w:w="108" w:type="dxa"/>
              <w:right w:w="108" w:type="dxa"/>
            </w:tcMar>
            <w:vAlign w:val="center"/>
          </w:tcPr>
          <w:p w14:paraId="7763A145" w14:textId="77777777" w:rsidR="00696ACC" w:rsidRPr="00696ACC" w:rsidRDefault="00696ACC" w:rsidP="00696ACC">
            <w:pPr>
              <w:jc w:val="center"/>
              <w:rPr>
                <w:rFonts w:ascii="Arial Narrow" w:eastAsia="Arial Narrow" w:hAnsi="Arial Narrow" w:cs="Arial Narrow"/>
                <w:b/>
                <w:bCs/>
                <w:color w:val="000000"/>
                <w:szCs w:val="20"/>
              </w:rPr>
            </w:pPr>
            <w:r w:rsidRPr="00696ACC">
              <w:rPr>
                <w:rFonts w:ascii="Arial Narrow" w:eastAsia="Arial Narrow" w:hAnsi="Arial Narrow" w:cs="Arial Narrow"/>
                <w:b/>
                <w:bCs/>
                <w:color w:val="000000"/>
                <w:szCs w:val="20"/>
              </w:rPr>
              <w:t>State Fiscal Year</w:t>
            </w:r>
          </w:p>
        </w:tc>
        <w:tc>
          <w:tcPr>
            <w:tcW w:w="2021" w:type="dxa"/>
            <w:tcBorders>
              <w:top w:val="outset" w:sz="8" w:space="0" w:color="auto"/>
              <w:left w:val="outset" w:sz="8" w:space="0" w:color="auto"/>
              <w:bottom w:val="outset" w:sz="8" w:space="0" w:color="auto"/>
              <w:right w:val="outset" w:sz="8" w:space="0" w:color="auto"/>
            </w:tcBorders>
            <w:shd w:val="clear" w:color="auto" w:fill="DBE5F1"/>
            <w:tcMar>
              <w:left w:w="108" w:type="dxa"/>
              <w:right w:w="108" w:type="dxa"/>
            </w:tcMar>
            <w:vAlign w:val="center"/>
          </w:tcPr>
          <w:p w14:paraId="442EC8CE" w14:textId="77777777" w:rsidR="00696ACC" w:rsidRPr="00696ACC" w:rsidRDefault="00696ACC" w:rsidP="00696ACC">
            <w:pPr>
              <w:jc w:val="center"/>
              <w:rPr>
                <w:rFonts w:ascii="Arial Narrow" w:eastAsia="Arial Narrow" w:hAnsi="Arial Narrow" w:cs="Arial Narrow"/>
                <w:b/>
                <w:bCs/>
                <w:color w:val="000000"/>
                <w:szCs w:val="20"/>
              </w:rPr>
            </w:pPr>
            <w:r w:rsidRPr="00696ACC">
              <w:rPr>
                <w:rFonts w:ascii="Arial Narrow" w:eastAsia="Arial Narrow" w:hAnsi="Arial Narrow" w:cs="Arial Narrow"/>
                <w:b/>
                <w:bCs/>
                <w:color w:val="000000"/>
                <w:szCs w:val="20"/>
              </w:rPr>
              <w:t>Managing Entity Operational Cost</w:t>
            </w:r>
          </w:p>
        </w:tc>
        <w:tc>
          <w:tcPr>
            <w:tcW w:w="1960" w:type="dxa"/>
            <w:tcBorders>
              <w:top w:val="outset" w:sz="8" w:space="0" w:color="auto"/>
              <w:left w:val="outset" w:sz="8" w:space="0" w:color="auto"/>
              <w:bottom w:val="outset" w:sz="8" w:space="0" w:color="auto"/>
              <w:right w:val="outset" w:sz="8" w:space="0" w:color="auto"/>
            </w:tcBorders>
            <w:shd w:val="clear" w:color="auto" w:fill="DBE5F1"/>
            <w:tcMar>
              <w:left w:w="108" w:type="dxa"/>
              <w:right w:w="108" w:type="dxa"/>
            </w:tcMar>
            <w:vAlign w:val="center"/>
          </w:tcPr>
          <w:p w14:paraId="51DA60AD" w14:textId="77777777" w:rsidR="00696ACC" w:rsidRPr="00696ACC" w:rsidRDefault="00696ACC" w:rsidP="00696ACC">
            <w:pPr>
              <w:jc w:val="center"/>
              <w:rPr>
                <w:rFonts w:ascii="Arial Narrow" w:eastAsia="Arial Narrow" w:hAnsi="Arial Narrow" w:cs="Arial Narrow"/>
                <w:b/>
                <w:bCs/>
                <w:color w:val="000000"/>
                <w:szCs w:val="20"/>
              </w:rPr>
            </w:pPr>
            <w:r w:rsidRPr="00696ACC">
              <w:rPr>
                <w:rFonts w:ascii="Arial Narrow" w:eastAsia="Arial Narrow" w:hAnsi="Arial Narrow" w:cs="Arial Narrow"/>
                <w:b/>
                <w:bCs/>
                <w:color w:val="000000"/>
                <w:szCs w:val="20"/>
              </w:rPr>
              <w:t>Direct Services Cost</w:t>
            </w:r>
          </w:p>
        </w:tc>
        <w:tc>
          <w:tcPr>
            <w:tcW w:w="1969" w:type="dxa"/>
            <w:tcBorders>
              <w:top w:val="outset" w:sz="8" w:space="0" w:color="auto"/>
              <w:left w:val="outset" w:sz="8" w:space="0" w:color="auto"/>
              <w:bottom w:val="outset" w:sz="8" w:space="0" w:color="auto"/>
              <w:right w:val="outset" w:sz="8" w:space="0" w:color="auto"/>
            </w:tcBorders>
            <w:shd w:val="clear" w:color="auto" w:fill="DBE5F1"/>
            <w:tcMar>
              <w:left w:w="108" w:type="dxa"/>
              <w:right w:w="108" w:type="dxa"/>
            </w:tcMar>
            <w:vAlign w:val="center"/>
          </w:tcPr>
          <w:p w14:paraId="41BB9E85" w14:textId="77777777" w:rsidR="00696ACC" w:rsidRPr="00696ACC" w:rsidRDefault="00696ACC" w:rsidP="00696ACC">
            <w:pPr>
              <w:jc w:val="center"/>
              <w:rPr>
                <w:rFonts w:ascii="Arial Narrow" w:eastAsia="Arial Narrow" w:hAnsi="Arial Narrow" w:cs="Arial Narrow"/>
                <w:b/>
                <w:bCs/>
                <w:color w:val="000000"/>
                <w:sz w:val="20"/>
                <w:szCs w:val="20"/>
              </w:rPr>
            </w:pPr>
            <w:r w:rsidRPr="00696ACC">
              <w:rPr>
                <w:rFonts w:ascii="Arial Narrow" w:eastAsia="Arial Narrow" w:hAnsi="Arial Narrow" w:cs="Arial Narrow"/>
                <w:b/>
                <w:bCs/>
                <w:color w:val="000000"/>
                <w:sz w:val="20"/>
                <w:szCs w:val="20"/>
              </w:rPr>
              <w:t>Supplemental DBH Funds</w:t>
            </w:r>
          </w:p>
        </w:tc>
        <w:tc>
          <w:tcPr>
            <w:tcW w:w="2083" w:type="dxa"/>
            <w:tcBorders>
              <w:top w:val="outset" w:sz="8" w:space="0" w:color="auto"/>
              <w:left w:val="outset" w:sz="8" w:space="0" w:color="auto"/>
              <w:bottom w:val="outset" w:sz="8" w:space="0" w:color="auto"/>
              <w:right w:val="outset" w:sz="8" w:space="0" w:color="auto"/>
            </w:tcBorders>
            <w:shd w:val="clear" w:color="auto" w:fill="DBE5F1"/>
            <w:tcMar>
              <w:left w:w="108" w:type="dxa"/>
              <w:right w:w="108" w:type="dxa"/>
            </w:tcMar>
            <w:vAlign w:val="center"/>
          </w:tcPr>
          <w:p w14:paraId="55BD2DB4" w14:textId="77777777" w:rsidR="00696ACC" w:rsidRPr="00696ACC" w:rsidRDefault="00696ACC" w:rsidP="00696ACC">
            <w:pPr>
              <w:jc w:val="center"/>
              <w:rPr>
                <w:rFonts w:ascii="Arial Narrow" w:eastAsia="Arial Narrow" w:hAnsi="Arial Narrow" w:cs="Arial Narrow"/>
                <w:b/>
                <w:bCs/>
                <w:color w:val="000000"/>
                <w:szCs w:val="20"/>
              </w:rPr>
            </w:pPr>
            <w:r w:rsidRPr="00696ACC">
              <w:rPr>
                <w:rFonts w:ascii="Arial Narrow" w:eastAsia="Arial Narrow" w:hAnsi="Arial Narrow" w:cs="Arial Narrow"/>
                <w:b/>
                <w:bCs/>
                <w:color w:val="000000"/>
                <w:szCs w:val="20"/>
              </w:rPr>
              <w:t>Total Value of Contract</w:t>
            </w:r>
          </w:p>
        </w:tc>
      </w:tr>
      <w:tr w:rsidR="00696ACC" w:rsidRPr="00696ACC" w14:paraId="03EDE18F" w14:textId="77777777" w:rsidTr="002C60A0">
        <w:trPr>
          <w:trHeight w:val="300"/>
        </w:trPr>
        <w:tc>
          <w:tcPr>
            <w:tcW w:w="1477"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74A2D6EF" w14:textId="77777777" w:rsidR="00696ACC" w:rsidRPr="00696ACC" w:rsidRDefault="00696ACC" w:rsidP="00696ACC">
            <w:pPr>
              <w:jc w:val="center"/>
              <w:rPr>
                <w:rFonts w:ascii="Arial Narrow" w:eastAsia="Arial Narrow" w:hAnsi="Arial Narrow" w:cs="Arial Narrow"/>
                <w:szCs w:val="20"/>
              </w:rPr>
            </w:pPr>
            <w:r w:rsidRPr="00696ACC">
              <w:rPr>
                <w:rFonts w:ascii="Arial Narrow" w:eastAsia="Arial Narrow" w:hAnsi="Arial Narrow" w:cs="Arial Narrow"/>
                <w:szCs w:val="20"/>
              </w:rPr>
              <w:t>2025-2026</w:t>
            </w:r>
          </w:p>
        </w:tc>
        <w:tc>
          <w:tcPr>
            <w:tcW w:w="202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261C812B" w14:textId="15829E8E" w:rsidR="00696ACC" w:rsidRPr="00696ACC" w:rsidRDefault="00696ACC" w:rsidP="00696ACC">
            <w:pPr>
              <w:jc w:val="center"/>
              <w:rPr>
                <w:rFonts w:ascii="Arial Narrow" w:eastAsia="Arial Narrow" w:hAnsi="Arial Narrow" w:cs="Arial Narrow"/>
                <w:szCs w:val="20"/>
              </w:rPr>
            </w:pPr>
          </w:p>
        </w:tc>
        <w:tc>
          <w:tcPr>
            <w:tcW w:w="1960"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2E94094B" w14:textId="4BCD13EF" w:rsidR="00696ACC" w:rsidRPr="00696ACC" w:rsidRDefault="00696ACC" w:rsidP="00696ACC">
            <w:pPr>
              <w:jc w:val="center"/>
              <w:rPr>
                <w:rFonts w:ascii="Arial Narrow" w:eastAsia="Arial Narrow" w:hAnsi="Arial Narrow" w:cs="Arial Narrow"/>
                <w:szCs w:val="20"/>
              </w:rPr>
            </w:pPr>
          </w:p>
        </w:tc>
        <w:tc>
          <w:tcPr>
            <w:tcW w:w="1969"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0353E58" w14:textId="0A3FC74A" w:rsidR="00696ACC" w:rsidRPr="00696ACC" w:rsidRDefault="00696ACC" w:rsidP="00696ACC">
            <w:pPr>
              <w:jc w:val="center"/>
              <w:rPr>
                <w:rFonts w:ascii="Arial Narrow" w:eastAsia="Arial Narrow" w:hAnsi="Arial Narrow" w:cs="Arial Narrow"/>
                <w:szCs w:val="20"/>
              </w:rPr>
            </w:pPr>
          </w:p>
        </w:tc>
        <w:tc>
          <w:tcPr>
            <w:tcW w:w="2083"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15A55D02" w14:textId="66A95C1E" w:rsidR="00696ACC" w:rsidRPr="00696ACC" w:rsidRDefault="00696ACC" w:rsidP="00696ACC">
            <w:pPr>
              <w:jc w:val="center"/>
              <w:rPr>
                <w:rFonts w:ascii="Arial Narrow" w:eastAsia="Arial Narrow" w:hAnsi="Arial Narrow" w:cs="Arial Narrow"/>
                <w:szCs w:val="20"/>
              </w:rPr>
            </w:pPr>
          </w:p>
        </w:tc>
      </w:tr>
      <w:tr w:rsidR="00696ACC" w:rsidRPr="00696ACC" w14:paraId="164D91E3" w14:textId="77777777" w:rsidTr="002C60A0">
        <w:trPr>
          <w:trHeight w:val="165"/>
        </w:trPr>
        <w:tc>
          <w:tcPr>
            <w:tcW w:w="1477"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57F2E5E6" w14:textId="77777777" w:rsidR="00696ACC" w:rsidRPr="00696ACC" w:rsidRDefault="00696ACC" w:rsidP="00696ACC">
            <w:pPr>
              <w:jc w:val="center"/>
              <w:rPr>
                <w:rFonts w:ascii="Arial Narrow" w:eastAsia="Arial Narrow" w:hAnsi="Arial Narrow" w:cs="Arial Narrow"/>
                <w:szCs w:val="20"/>
              </w:rPr>
            </w:pPr>
            <w:r w:rsidRPr="00696ACC">
              <w:rPr>
                <w:rFonts w:ascii="Arial Narrow" w:eastAsia="Arial Narrow" w:hAnsi="Arial Narrow" w:cs="Arial Narrow"/>
                <w:szCs w:val="20"/>
              </w:rPr>
              <w:t>2026-2027</w:t>
            </w:r>
          </w:p>
        </w:tc>
        <w:tc>
          <w:tcPr>
            <w:tcW w:w="202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1C6A885F" w14:textId="26D953F5" w:rsidR="00696ACC" w:rsidRPr="00696ACC" w:rsidRDefault="00696ACC" w:rsidP="00696ACC">
            <w:pPr>
              <w:jc w:val="center"/>
              <w:rPr>
                <w:rFonts w:ascii="Arial Narrow" w:eastAsia="Arial Narrow" w:hAnsi="Arial Narrow" w:cs="Arial Narrow"/>
                <w:szCs w:val="20"/>
              </w:rPr>
            </w:pPr>
          </w:p>
        </w:tc>
        <w:tc>
          <w:tcPr>
            <w:tcW w:w="1960"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3DFE6C12" w14:textId="01EAC6CD" w:rsidR="00696ACC" w:rsidRPr="00696ACC" w:rsidRDefault="00696ACC" w:rsidP="00696ACC">
            <w:pPr>
              <w:jc w:val="center"/>
              <w:rPr>
                <w:rFonts w:ascii="Arial Narrow" w:eastAsia="Arial Narrow" w:hAnsi="Arial Narrow" w:cs="Arial Narrow"/>
                <w:szCs w:val="20"/>
              </w:rPr>
            </w:pPr>
          </w:p>
        </w:tc>
        <w:tc>
          <w:tcPr>
            <w:tcW w:w="1969"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6484B3EC" w14:textId="3608928C" w:rsidR="00696ACC" w:rsidRPr="00696ACC" w:rsidRDefault="00696ACC" w:rsidP="00696ACC">
            <w:pPr>
              <w:jc w:val="center"/>
              <w:rPr>
                <w:rFonts w:ascii="Arial Narrow" w:eastAsia="Arial Narrow" w:hAnsi="Arial Narrow" w:cs="Arial Narrow"/>
                <w:szCs w:val="20"/>
              </w:rPr>
            </w:pPr>
          </w:p>
        </w:tc>
        <w:tc>
          <w:tcPr>
            <w:tcW w:w="2083"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51F74637" w14:textId="4F09622F" w:rsidR="00696ACC" w:rsidRPr="00696ACC" w:rsidRDefault="00696ACC" w:rsidP="00696ACC">
            <w:pPr>
              <w:jc w:val="center"/>
              <w:rPr>
                <w:rFonts w:ascii="Arial Narrow" w:eastAsia="Arial Narrow" w:hAnsi="Arial Narrow" w:cs="Arial Narrow"/>
                <w:szCs w:val="20"/>
              </w:rPr>
            </w:pPr>
          </w:p>
        </w:tc>
      </w:tr>
      <w:tr w:rsidR="00696ACC" w:rsidRPr="00696ACC" w14:paraId="1C4692A0" w14:textId="77777777" w:rsidTr="002C60A0">
        <w:trPr>
          <w:trHeight w:val="300"/>
        </w:trPr>
        <w:tc>
          <w:tcPr>
            <w:tcW w:w="1477"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38E26624" w14:textId="77777777" w:rsidR="00696ACC" w:rsidRPr="00696ACC" w:rsidRDefault="00696ACC" w:rsidP="00696ACC">
            <w:pPr>
              <w:jc w:val="center"/>
              <w:rPr>
                <w:rFonts w:ascii="Arial Narrow" w:eastAsia="Arial Narrow" w:hAnsi="Arial Narrow" w:cs="Arial Narrow"/>
                <w:szCs w:val="20"/>
              </w:rPr>
            </w:pPr>
            <w:r w:rsidRPr="00696ACC">
              <w:rPr>
                <w:rFonts w:ascii="Arial Narrow" w:eastAsia="Arial Narrow" w:hAnsi="Arial Narrow" w:cs="Arial Narrow"/>
                <w:szCs w:val="20"/>
              </w:rPr>
              <w:t>2027-2028</w:t>
            </w:r>
          </w:p>
        </w:tc>
        <w:tc>
          <w:tcPr>
            <w:tcW w:w="202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60754127" w14:textId="770531FF" w:rsidR="00696ACC" w:rsidRPr="00696ACC" w:rsidRDefault="00696ACC" w:rsidP="00696ACC">
            <w:pPr>
              <w:jc w:val="center"/>
              <w:rPr>
                <w:rFonts w:ascii="Arial Narrow" w:eastAsia="Arial Narrow" w:hAnsi="Arial Narrow" w:cs="Arial Narrow"/>
                <w:szCs w:val="20"/>
              </w:rPr>
            </w:pPr>
          </w:p>
        </w:tc>
        <w:tc>
          <w:tcPr>
            <w:tcW w:w="1960"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D51595A" w14:textId="69943D6B" w:rsidR="00696ACC" w:rsidRPr="00696ACC" w:rsidRDefault="00696ACC" w:rsidP="00696ACC">
            <w:pPr>
              <w:jc w:val="center"/>
              <w:rPr>
                <w:rFonts w:ascii="Arial Narrow" w:eastAsia="Arial Narrow" w:hAnsi="Arial Narrow" w:cs="Arial Narrow"/>
                <w:szCs w:val="20"/>
              </w:rPr>
            </w:pPr>
          </w:p>
        </w:tc>
        <w:tc>
          <w:tcPr>
            <w:tcW w:w="1969"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4DD7F8E" w14:textId="3330936B" w:rsidR="00696ACC" w:rsidRPr="00696ACC" w:rsidRDefault="00696ACC" w:rsidP="00696ACC">
            <w:pPr>
              <w:jc w:val="center"/>
              <w:rPr>
                <w:rFonts w:ascii="Arial Narrow" w:eastAsia="Arial Narrow" w:hAnsi="Arial Narrow" w:cs="Arial Narrow"/>
                <w:szCs w:val="20"/>
              </w:rPr>
            </w:pPr>
          </w:p>
        </w:tc>
        <w:tc>
          <w:tcPr>
            <w:tcW w:w="2083"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4073245B" w14:textId="7A769B4B" w:rsidR="00696ACC" w:rsidRPr="00696ACC" w:rsidRDefault="00696ACC" w:rsidP="00696ACC">
            <w:pPr>
              <w:jc w:val="center"/>
              <w:rPr>
                <w:rFonts w:ascii="Arial Narrow" w:eastAsia="Arial Narrow" w:hAnsi="Arial Narrow" w:cs="Arial Narrow"/>
                <w:szCs w:val="20"/>
              </w:rPr>
            </w:pPr>
          </w:p>
        </w:tc>
      </w:tr>
      <w:tr w:rsidR="00696ACC" w:rsidRPr="00696ACC" w14:paraId="62CD5242" w14:textId="77777777" w:rsidTr="002C60A0">
        <w:trPr>
          <w:trHeight w:val="300"/>
        </w:trPr>
        <w:tc>
          <w:tcPr>
            <w:tcW w:w="1477"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5A73B640" w14:textId="77777777" w:rsidR="00696ACC" w:rsidRPr="00696ACC" w:rsidRDefault="00696ACC" w:rsidP="00696ACC">
            <w:pPr>
              <w:jc w:val="center"/>
              <w:rPr>
                <w:rFonts w:ascii="Arial Narrow" w:eastAsia="Arial Narrow" w:hAnsi="Arial Narrow" w:cs="Arial Narrow"/>
                <w:szCs w:val="20"/>
              </w:rPr>
            </w:pPr>
            <w:r w:rsidRPr="00696ACC">
              <w:rPr>
                <w:rFonts w:ascii="Arial Narrow" w:eastAsia="Arial Narrow" w:hAnsi="Arial Narrow" w:cs="Arial Narrow"/>
                <w:szCs w:val="20"/>
              </w:rPr>
              <w:t>2028-2029</w:t>
            </w:r>
          </w:p>
        </w:tc>
        <w:tc>
          <w:tcPr>
            <w:tcW w:w="202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2423A2F2" w14:textId="5E3D67BB" w:rsidR="00696ACC" w:rsidRPr="00696ACC" w:rsidRDefault="00696ACC" w:rsidP="00696ACC">
            <w:pPr>
              <w:jc w:val="center"/>
              <w:rPr>
                <w:rFonts w:ascii="Arial Narrow" w:eastAsia="Arial Narrow" w:hAnsi="Arial Narrow" w:cs="Arial Narrow"/>
                <w:szCs w:val="20"/>
              </w:rPr>
            </w:pPr>
          </w:p>
        </w:tc>
        <w:tc>
          <w:tcPr>
            <w:tcW w:w="1960"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62EF4C3" w14:textId="5EC59DA3" w:rsidR="00696ACC" w:rsidRPr="00696ACC" w:rsidRDefault="00696ACC" w:rsidP="00696ACC">
            <w:pPr>
              <w:jc w:val="center"/>
              <w:rPr>
                <w:rFonts w:ascii="Arial Narrow" w:eastAsia="Arial Narrow" w:hAnsi="Arial Narrow" w:cs="Arial Narrow"/>
                <w:szCs w:val="20"/>
              </w:rPr>
            </w:pPr>
          </w:p>
        </w:tc>
        <w:tc>
          <w:tcPr>
            <w:tcW w:w="1969"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52707DF5" w14:textId="6BC77AF9" w:rsidR="00696ACC" w:rsidRPr="00696ACC" w:rsidRDefault="00696ACC" w:rsidP="00696ACC">
            <w:pPr>
              <w:jc w:val="center"/>
              <w:rPr>
                <w:rFonts w:ascii="Arial Narrow" w:eastAsia="Arial Narrow" w:hAnsi="Arial Narrow" w:cs="Arial Narrow"/>
                <w:szCs w:val="20"/>
              </w:rPr>
            </w:pPr>
          </w:p>
        </w:tc>
        <w:tc>
          <w:tcPr>
            <w:tcW w:w="2083"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409D04C8" w14:textId="1D5BF4B5" w:rsidR="00696ACC" w:rsidRPr="00696ACC" w:rsidRDefault="00696ACC" w:rsidP="00696ACC">
            <w:pPr>
              <w:jc w:val="center"/>
              <w:rPr>
                <w:rFonts w:ascii="Arial Narrow" w:eastAsia="Arial Narrow" w:hAnsi="Arial Narrow" w:cs="Arial Narrow"/>
                <w:szCs w:val="20"/>
              </w:rPr>
            </w:pPr>
          </w:p>
        </w:tc>
      </w:tr>
      <w:tr w:rsidR="00696ACC" w:rsidRPr="00696ACC" w14:paraId="7173934D" w14:textId="77777777" w:rsidTr="002C60A0">
        <w:trPr>
          <w:trHeight w:val="300"/>
        </w:trPr>
        <w:tc>
          <w:tcPr>
            <w:tcW w:w="1477"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79D99380" w14:textId="77777777" w:rsidR="00696ACC" w:rsidRPr="00696ACC" w:rsidRDefault="00696ACC" w:rsidP="00696ACC">
            <w:pPr>
              <w:jc w:val="center"/>
              <w:rPr>
                <w:rFonts w:ascii="Arial Narrow" w:eastAsia="Arial Narrow" w:hAnsi="Arial Narrow" w:cs="Arial Narrow"/>
                <w:szCs w:val="20"/>
              </w:rPr>
            </w:pPr>
            <w:r w:rsidRPr="00696ACC">
              <w:rPr>
                <w:rFonts w:ascii="Arial Narrow" w:eastAsia="Arial Narrow" w:hAnsi="Arial Narrow" w:cs="Arial Narrow"/>
                <w:szCs w:val="20"/>
              </w:rPr>
              <w:t>2029-2030</w:t>
            </w:r>
          </w:p>
        </w:tc>
        <w:tc>
          <w:tcPr>
            <w:tcW w:w="202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2AFC9A6D" w14:textId="42E5049A" w:rsidR="00696ACC" w:rsidRPr="00696ACC" w:rsidRDefault="00696ACC" w:rsidP="00696ACC">
            <w:pPr>
              <w:jc w:val="center"/>
              <w:rPr>
                <w:rFonts w:ascii="Arial Narrow" w:eastAsia="Arial Narrow" w:hAnsi="Arial Narrow" w:cs="Arial Narrow"/>
                <w:szCs w:val="20"/>
              </w:rPr>
            </w:pPr>
          </w:p>
        </w:tc>
        <w:tc>
          <w:tcPr>
            <w:tcW w:w="1960"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37BD0411" w14:textId="49A7BC06" w:rsidR="00696ACC" w:rsidRPr="00696ACC" w:rsidRDefault="00696ACC" w:rsidP="00696ACC">
            <w:pPr>
              <w:jc w:val="center"/>
              <w:rPr>
                <w:rFonts w:ascii="Arial Narrow" w:eastAsia="Arial Narrow" w:hAnsi="Arial Narrow" w:cs="Arial Narrow"/>
                <w:szCs w:val="20"/>
              </w:rPr>
            </w:pPr>
          </w:p>
        </w:tc>
        <w:tc>
          <w:tcPr>
            <w:tcW w:w="1969"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6951CA0E" w14:textId="376F7351" w:rsidR="00696ACC" w:rsidRPr="00696ACC" w:rsidRDefault="00696ACC" w:rsidP="00696ACC">
            <w:pPr>
              <w:jc w:val="center"/>
              <w:rPr>
                <w:rFonts w:ascii="Arial Narrow" w:eastAsia="Arial Narrow" w:hAnsi="Arial Narrow" w:cs="Arial Narrow"/>
                <w:szCs w:val="20"/>
              </w:rPr>
            </w:pPr>
          </w:p>
        </w:tc>
        <w:tc>
          <w:tcPr>
            <w:tcW w:w="2083"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1C158AD" w14:textId="74C151E3" w:rsidR="00696ACC" w:rsidRPr="00696ACC" w:rsidRDefault="00696ACC" w:rsidP="00696ACC">
            <w:pPr>
              <w:jc w:val="center"/>
              <w:rPr>
                <w:rFonts w:ascii="Arial Narrow" w:eastAsia="Arial Narrow" w:hAnsi="Arial Narrow" w:cs="Arial Narrow"/>
                <w:szCs w:val="20"/>
              </w:rPr>
            </w:pPr>
          </w:p>
        </w:tc>
      </w:tr>
      <w:tr w:rsidR="00696ACC" w:rsidRPr="00696ACC" w14:paraId="32BFA47D" w14:textId="77777777" w:rsidTr="002C60A0">
        <w:trPr>
          <w:trHeight w:val="300"/>
        </w:trPr>
        <w:tc>
          <w:tcPr>
            <w:tcW w:w="1477"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79E6E27D" w14:textId="77777777" w:rsidR="00696ACC" w:rsidRPr="00696ACC" w:rsidRDefault="00696ACC" w:rsidP="00696ACC">
            <w:pPr>
              <w:jc w:val="center"/>
              <w:rPr>
                <w:rFonts w:ascii="Arial Narrow" w:eastAsia="Arial Narrow" w:hAnsi="Arial Narrow" w:cs="Arial Narrow"/>
                <w:b/>
                <w:bCs/>
                <w:szCs w:val="20"/>
              </w:rPr>
            </w:pPr>
            <w:r w:rsidRPr="00696ACC">
              <w:rPr>
                <w:rFonts w:ascii="Arial Narrow" w:eastAsia="Arial Narrow" w:hAnsi="Arial Narrow" w:cs="Arial Narrow"/>
                <w:b/>
                <w:bCs/>
                <w:szCs w:val="20"/>
              </w:rPr>
              <w:t>Total</w:t>
            </w:r>
          </w:p>
        </w:tc>
        <w:tc>
          <w:tcPr>
            <w:tcW w:w="202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298BCD5F" w14:textId="5015D840" w:rsidR="00696ACC" w:rsidRPr="00696ACC" w:rsidRDefault="00696ACC" w:rsidP="00696ACC">
            <w:pPr>
              <w:jc w:val="center"/>
              <w:rPr>
                <w:rFonts w:ascii="Arial Narrow" w:eastAsia="Arial Narrow" w:hAnsi="Arial Narrow" w:cs="Arial Narrow"/>
                <w:b/>
                <w:bCs/>
                <w:szCs w:val="20"/>
              </w:rPr>
            </w:pPr>
          </w:p>
        </w:tc>
        <w:tc>
          <w:tcPr>
            <w:tcW w:w="1960"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73528801" w14:textId="73A65B9F" w:rsidR="00696ACC" w:rsidRPr="00696ACC" w:rsidRDefault="00696ACC" w:rsidP="00696ACC">
            <w:pPr>
              <w:jc w:val="center"/>
              <w:rPr>
                <w:rFonts w:ascii="Arial Narrow" w:eastAsia="Arial Narrow" w:hAnsi="Arial Narrow" w:cs="Arial Narrow"/>
                <w:b/>
                <w:bCs/>
                <w:szCs w:val="20"/>
              </w:rPr>
            </w:pPr>
          </w:p>
        </w:tc>
        <w:tc>
          <w:tcPr>
            <w:tcW w:w="1969"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40388E0B" w14:textId="610ABA9F" w:rsidR="00696ACC" w:rsidRPr="00696ACC" w:rsidRDefault="00696ACC" w:rsidP="00696ACC">
            <w:pPr>
              <w:jc w:val="center"/>
              <w:rPr>
                <w:rFonts w:ascii="Arial Narrow" w:eastAsia="Arial Narrow" w:hAnsi="Arial Narrow" w:cs="Arial Narrow"/>
                <w:b/>
                <w:bCs/>
                <w:szCs w:val="20"/>
              </w:rPr>
            </w:pPr>
          </w:p>
        </w:tc>
        <w:tc>
          <w:tcPr>
            <w:tcW w:w="2083"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54AE0341" w14:textId="66EE5A4A" w:rsidR="00696ACC" w:rsidRPr="00696ACC" w:rsidRDefault="00696ACC" w:rsidP="00696ACC">
            <w:pPr>
              <w:jc w:val="center"/>
              <w:rPr>
                <w:rFonts w:ascii="Arial Narrow" w:eastAsia="Arial Narrow" w:hAnsi="Arial Narrow" w:cs="Arial Narrow"/>
                <w:b/>
                <w:bCs/>
                <w:szCs w:val="20"/>
              </w:rPr>
            </w:pPr>
          </w:p>
        </w:tc>
      </w:tr>
    </w:tbl>
    <w:p w14:paraId="7D161B02" w14:textId="77777777" w:rsidR="00696ACC" w:rsidRPr="00696ACC" w:rsidRDefault="00696ACC" w:rsidP="002B5A9F">
      <w:pPr>
        <w:spacing w:before="60" w:after="60" w:line="240" w:lineRule="auto"/>
        <w:outlineLvl w:val="0"/>
        <w:rPr>
          <w:rFonts w:ascii="Arial" w:eastAsia="Times New Roman" w:hAnsi="Arial" w:cs="Times New Roman"/>
          <w:b/>
          <w:bCs/>
          <w:caps/>
          <w:kern w:val="0"/>
          <w:szCs w:val="20"/>
          <w:u w:val="single"/>
          <w14:ligatures w14:val="none"/>
        </w:rPr>
      </w:pPr>
    </w:p>
    <w:p w14:paraId="5417267E" w14:textId="77777777" w:rsidR="00696ACC" w:rsidRPr="00696ACC" w:rsidRDefault="00696ACC" w:rsidP="002B5A9F">
      <w:pPr>
        <w:numPr>
          <w:ilvl w:val="0"/>
          <w:numId w:val="3"/>
        </w:numPr>
        <w:spacing w:before="60" w:after="60" w:line="240" w:lineRule="auto"/>
        <w:ind w:left="0" w:firstLine="0"/>
        <w:contextualSpacing/>
        <w:outlineLvl w:val="0"/>
        <w:rPr>
          <w:rFonts w:ascii="Arial" w:eastAsia="Calibri" w:hAnsi="Arial" w:cs="Arial"/>
          <w:b/>
          <w:bCs/>
          <w:caps/>
          <w:kern w:val="0"/>
          <w:u w:val="single"/>
          <w14:ligatures w14:val="none"/>
        </w:rPr>
      </w:pPr>
      <w:r w:rsidRPr="00696ACC">
        <w:rPr>
          <w:rFonts w:ascii="Arial" w:eastAsia="Calibri" w:hAnsi="Arial" w:cs="Arial"/>
          <w:b/>
          <w:bCs/>
          <w:caps/>
          <w:kern w:val="0"/>
          <w:u w:val="single"/>
          <w14:ligatures w14:val="none"/>
        </w:rPr>
        <w:t>Payment</w:t>
      </w:r>
    </w:p>
    <w:p w14:paraId="172C98E7" w14:textId="77777777" w:rsidR="00696ACC" w:rsidRPr="00696ACC" w:rsidRDefault="00696ACC" w:rsidP="002B5A9F">
      <w:pPr>
        <w:numPr>
          <w:ilvl w:val="1"/>
          <w:numId w:val="4"/>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The Department will pay the Managing Entity an operational cost for the management of the Network in accordance with the terms and conditions of this Contract. The direct service cost is defined as the annual value of the Contract less the total value of both the Managing Entity operational cost and the Supplemental DBH Funds.</w:t>
      </w:r>
    </w:p>
    <w:p w14:paraId="24F28354" w14:textId="77777777" w:rsidR="00696ACC" w:rsidRPr="00696ACC" w:rsidRDefault="00696ACC" w:rsidP="002B5A9F">
      <w:pPr>
        <w:numPr>
          <w:ilvl w:val="1"/>
          <w:numId w:val="5"/>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In accordance with §. 394.9082, F.S., the Department will pay the Managing Entity a two-month advance at the beginning of each fiscal year, paid in two installments.</w:t>
      </w:r>
    </w:p>
    <w:p w14:paraId="06A4E3D8" w14:textId="77777777" w:rsidR="00696ACC" w:rsidRPr="00696ACC" w:rsidRDefault="00696ACC" w:rsidP="002B5A9F">
      <w:pPr>
        <w:numPr>
          <w:ilvl w:val="2"/>
          <w:numId w:val="6"/>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Annually on </w:t>
      </w:r>
      <w:r w:rsidRPr="00696ACC">
        <w:rPr>
          <w:rFonts w:ascii="Arial" w:eastAsia="Calibri" w:hAnsi="Arial" w:cs="Arial"/>
          <w:b/>
          <w:bCs/>
          <w:kern w:val="0"/>
          <w14:ligatures w14:val="none"/>
        </w:rPr>
        <w:t>July 1</w:t>
      </w:r>
      <w:r w:rsidRPr="00696ACC">
        <w:rPr>
          <w:rFonts w:ascii="Arial" w:eastAsia="Calibri" w:hAnsi="Arial" w:cs="Arial"/>
          <w:kern w:val="0"/>
          <w14:ligatures w14:val="none"/>
        </w:rPr>
        <w:t xml:space="preserve">, the Managing Entity shall submit the initial advance request, based on one-sixth of the amount of recurring funding included in the prior year’s </w:t>
      </w:r>
      <w:r w:rsidRPr="00696ACC">
        <w:rPr>
          <w:rFonts w:ascii="Arial" w:eastAsia="Calibri" w:hAnsi="Arial" w:cs="Arial"/>
          <w:b/>
          <w:bCs/>
          <w:kern w:val="0"/>
          <w14:ligatures w14:val="none"/>
        </w:rPr>
        <w:t>Exhibit F1</w:t>
      </w:r>
      <w:r w:rsidRPr="00696ACC">
        <w:rPr>
          <w:rFonts w:ascii="Arial" w:eastAsia="Calibri" w:hAnsi="Arial" w:cs="Arial"/>
          <w:kern w:val="0"/>
          <w14:ligatures w14:val="none"/>
        </w:rPr>
        <w:t>.</w:t>
      </w:r>
    </w:p>
    <w:p w14:paraId="7EC57D07" w14:textId="77777777" w:rsidR="00696ACC" w:rsidRPr="00696ACC" w:rsidRDefault="00696ACC" w:rsidP="002B5A9F">
      <w:pPr>
        <w:numPr>
          <w:ilvl w:val="2"/>
          <w:numId w:val="6"/>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After the execution of an amendment containing the current year’s initial </w:t>
      </w:r>
      <w:r w:rsidRPr="00696ACC">
        <w:rPr>
          <w:rFonts w:ascii="Arial" w:eastAsia="Calibri" w:hAnsi="Arial" w:cs="Arial"/>
          <w:b/>
          <w:bCs/>
          <w:kern w:val="0"/>
          <w14:ligatures w14:val="none"/>
        </w:rPr>
        <w:t>Exhibit F1</w:t>
      </w:r>
      <w:r w:rsidRPr="00696ACC">
        <w:rPr>
          <w:rFonts w:ascii="Arial" w:eastAsia="Calibri" w:hAnsi="Arial" w:cs="Arial"/>
          <w:kern w:val="0"/>
          <w14:ligatures w14:val="none"/>
        </w:rPr>
        <w:t xml:space="preserve">, the Managing Entity shall submit a supplemental advance request, based on one-sixth of any increased amount in the current year </w:t>
      </w:r>
      <w:r w:rsidRPr="00696ACC">
        <w:rPr>
          <w:rFonts w:ascii="Arial" w:eastAsia="Calibri" w:hAnsi="Arial" w:cs="Arial"/>
          <w:b/>
          <w:bCs/>
          <w:kern w:val="0"/>
          <w14:ligatures w14:val="none"/>
        </w:rPr>
        <w:t>Exhibit F1</w:t>
      </w:r>
      <w:r w:rsidRPr="00696ACC">
        <w:rPr>
          <w:rFonts w:ascii="Arial" w:eastAsia="Calibri" w:hAnsi="Arial" w:cs="Arial"/>
          <w:kern w:val="0"/>
          <w14:ligatures w14:val="none"/>
        </w:rPr>
        <w:t xml:space="preserve"> over the prior year </w:t>
      </w:r>
      <w:r w:rsidRPr="00696ACC">
        <w:rPr>
          <w:rFonts w:ascii="Arial" w:eastAsia="Calibri" w:hAnsi="Arial" w:cs="Arial"/>
          <w:b/>
          <w:bCs/>
          <w:kern w:val="0"/>
          <w14:ligatures w14:val="none"/>
        </w:rPr>
        <w:t>Exhibit F1</w:t>
      </w:r>
      <w:r w:rsidRPr="00696ACC">
        <w:rPr>
          <w:rFonts w:ascii="Arial" w:eastAsia="Calibri" w:hAnsi="Arial" w:cs="Arial"/>
          <w:kern w:val="0"/>
          <w14:ligatures w14:val="none"/>
        </w:rPr>
        <w:t>.</w:t>
      </w:r>
    </w:p>
    <w:p w14:paraId="795A7225" w14:textId="77777777" w:rsidR="00696ACC" w:rsidRPr="00696ACC" w:rsidRDefault="00696ACC" w:rsidP="002B5A9F">
      <w:pPr>
        <w:numPr>
          <w:ilvl w:val="2"/>
          <w:numId w:val="6"/>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Thereafter, the Managing Entity shall request monthly fixed payments equal to the fiscal year contract balance divided by the number of months remaining in the fiscal year. The payment request may be subject to financial consequences, pursuant to </w:t>
      </w:r>
      <w:r w:rsidRPr="00696ACC">
        <w:rPr>
          <w:rFonts w:ascii="Arial" w:eastAsia="Calibri" w:hAnsi="Arial" w:cs="Arial"/>
          <w:b/>
          <w:kern w:val="0"/>
          <w14:ligatures w14:val="none"/>
        </w:rPr>
        <w:t>Section E.5.2</w:t>
      </w:r>
      <w:r w:rsidRPr="00696ACC">
        <w:rPr>
          <w:rFonts w:ascii="Arial" w:eastAsia="Calibri" w:hAnsi="Arial" w:cs="Arial"/>
          <w:kern w:val="0"/>
          <w14:ligatures w14:val="none"/>
        </w:rPr>
        <w:t>.</w:t>
      </w:r>
    </w:p>
    <w:p w14:paraId="1DD9F858" w14:textId="77777777" w:rsidR="00696ACC" w:rsidRPr="00696ACC" w:rsidRDefault="00696ACC" w:rsidP="002B5A9F">
      <w:pPr>
        <w:numPr>
          <w:ilvl w:val="2"/>
          <w:numId w:val="6"/>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advance and payment amount for each fiscal year are specified in </w:t>
      </w:r>
      <w:r w:rsidRPr="00696ACC">
        <w:rPr>
          <w:rFonts w:ascii="Arial" w:eastAsia="Calibri" w:hAnsi="Arial" w:cs="Arial"/>
          <w:b/>
          <w:bCs/>
          <w:kern w:val="0"/>
          <w14:ligatures w14:val="none"/>
        </w:rPr>
        <w:t>Exhibit F2</w:t>
      </w:r>
      <w:r w:rsidRPr="00696ACC">
        <w:rPr>
          <w:rFonts w:ascii="Arial" w:eastAsia="Calibri" w:hAnsi="Arial" w:cs="Arial"/>
          <w:kern w:val="0"/>
          <w14:ligatures w14:val="none"/>
        </w:rPr>
        <w:t>.</w:t>
      </w:r>
    </w:p>
    <w:p w14:paraId="4E190808" w14:textId="77777777" w:rsidR="00696ACC" w:rsidRPr="00696ACC" w:rsidRDefault="00696ACC" w:rsidP="002B5A9F">
      <w:pPr>
        <w:numPr>
          <w:ilvl w:val="1"/>
          <w:numId w:val="7"/>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The Managing Entity shall temporarily invest surplus advance funds in an insured interest-bearing account, in accordance with §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3156005C" w14:textId="77777777" w:rsidR="00696ACC" w:rsidRPr="00696ACC" w:rsidRDefault="00696ACC" w:rsidP="002B5A9F">
      <w:pPr>
        <w:numPr>
          <w:ilvl w:val="1"/>
          <w:numId w:val="8"/>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The Managing Entity shall expend any advance in accordance with the General Appropriations Act.</w:t>
      </w:r>
    </w:p>
    <w:p w14:paraId="4B58A103" w14:textId="77777777" w:rsidR="00696ACC" w:rsidRPr="00696ACC" w:rsidRDefault="00696ACC" w:rsidP="002B5A9F">
      <w:pPr>
        <w:numPr>
          <w:ilvl w:val="1"/>
          <w:numId w:val="6"/>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Managing Entity shall request payment in accordance with </w:t>
      </w:r>
      <w:r w:rsidRPr="00696ACC">
        <w:rPr>
          <w:rFonts w:ascii="Arial" w:eastAsia="Calibri" w:hAnsi="Arial" w:cs="Arial"/>
          <w:b/>
          <w:kern w:val="0"/>
          <w14:ligatures w14:val="none"/>
        </w:rPr>
        <w:t>Section F.3</w:t>
      </w:r>
      <w:r w:rsidRPr="00696ACC">
        <w:rPr>
          <w:rFonts w:ascii="Arial" w:eastAsia="Calibri" w:hAnsi="Arial" w:cs="Arial"/>
          <w:kern w:val="0"/>
          <w14:ligatures w14:val="none"/>
        </w:rPr>
        <w:t>.</w:t>
      </w:r>
    </w:p>
    <w:p w14:paraId="2225D6E5" w14:textId="77777777" w:rsidR="00696ACC" w:rsidRPr="00696ACC" w:rsidRDefault="00696ACC" w:rsidP="002B5A9F">
      <w:pPr>
        <w:keepNext/>
        <w:numPr>
          <w:ilvl w:val="0"/>
          <w:numId w:val="6"/>
        </w:numPr>
        <w:spacing w:before="60" w:after="60" w:line="240" w:lineRule="auto"/>
        <w:ind w:left="0" w:firstLine="0"/>
        <w:contextualSpacing/>
        <w:outlineLvl w:val="0"/>
        <w:rPr>
          <w:rFonts w:ascii="Arial" w:eastAsia="Calibri" w:hAnsi="Arial" w:cs="Arial"/>
          <w:b/>
          <w:caps/>
          <w:kern w:val="0"/>
          <w:u w:val="single"/>
          <w14:ligatures w14:val="none"/>
        </w:rPr>
      </w:pPr>
      <w:r w:rsidRPr="00696ACC">
        <w:rPr>
          <w:rFonts w:ascii="Arial" w:eastAsia="Calibri" w:hAnsi="Arial" w:cs="Arial"/>
          <w:b/>
          <w:caps/>
          <w:kern w:val="0"/>
          <w:u w:val="single"/>
          <w14:ligatures w14:val="none"/>
        </w:rPr>
        <w:t>Invoice Requirements</w:t>
      </w:r>
    </w:p>
    <w:p w14:paraId="20B1CAC3" w14:textId="77777777" w:rsidR="00696ACC" w:rsidRPr="00696ACC" w:rsidRDefault="00696ACC" w:rsidP="002B5A9F">
      <w:pPr>
        <w:numPr>
          <w:ilvl w:val="1"/>
          <w:numId w:val="9"/>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In accordance with </w:t>
      </w:r>
      <w:r w:rsidRPr="00696ACC">
        <w:rPr>
          <w:rFonts w:ascii="Arial" w:eastAsia="Calibri" w:hAnsi="Arial" w:cs="Arial"/>
          <w:b/>
          <w:kern w:val="0"/>
          <w14:ligatures w14:val="none"/>
        </w:rPr>
        <w:t>Exhibit F2</w:t>
      </w:r>
      <w:r w:rsidRPr="00696ACC">
        <w:rPr>
          <w:rFonts w:ascii="Arial" w:eastAsia="Calibri" w:hAnsi="Arial" w:cs="Arial"/>
          <w:kern w:val="0"/>
          <w14:ligatures w14:val="none"/>
        </w:rPr>
        <w:t>, the Managing Entity shall:</w:t>
      </w:r>
    </w:p>
    <w:p w14:paraId="5FBC5DD3" w14:textId="77777777" w:rsidR="00696ACC" w:rsidRPr="00696ACC" w:rsidRDefault="00696ACC" w:rsidP="002B5A9F">
      <w:pPr>
        <w:numPr>
          <w:ilvl w:val="2"/>
          <w:numId w:val="1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Request payment monthly through the submission of a properly completed </w:t>
      </w:r>
      <w:r w:rsidRPr="00696ACC">
        <w:rPr>
          <w:rFonts w:ascii="Arial" w:eastAsia="Calibri" w:hAnsi="Arial" w:cs="Arial"/>
          <w:b/>
          <w:kern w:val="0"/>
          <w14:ligatures w14:val="none"/>
        </w:rPr>
        <w:t>Template 10 – Managing Entity Monthly Fixed Payment Invoice</w:t>
      </w:r>
      <w:r w:rsidRPr="00696ACC">
        <w:rPr>
          <w:rFonts w:ascii="Arial" w:eastAsia="Calibri" w:hAnsi="Arial" w:cs="Arial"/>
          <w:kern w:val="0"/>
          <w14:ligatures w14:val="none"/>
        </w:rPr>
        <w:t>; and</w:t>
      </w:r>
    </w:p>
    <w:p w14:paraId="58685053" w14:textId="77777777" w:rsidR="00696ACC" w:rsidRPr="00696ACC" w:rsidRDefault="00696ACC" w:rsidP="002B5A9F">
      <w:pPr>
        <w:numPr>
          <w:ilvl w:val="2"/>
          <w:numId w:val="1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lastRenderedPageBreak/>
        <w:t xml:space="preserve">Submit a properly completed </w:t>
      </w:r>
      <w:r w:rsidRPr="00696ACC">
        <w:rPr>
          <w:rFonts w:ascii="Arial" w:eastAsia="Calibri" w:hAnsi="Arial" w:cs="Arial"/>
          <w:b/>
          <w:kern w:val="0"/>
          <w14:ligatures w14:val="none"/>
        </w:rPr>
        <w:t>Template 11 –</w:t>
      </w:r>
      <w:r w:rsidRPr="00696ACC">
        <w:rPr>
          <w:rFonts w:ascii="Arial" w:eastAsia="Calibri" w:hAnsi="Arial" w:cs="Arial"/>
          <w:kern w:val="0"/>
          <w14:ligatures w14:val="none"/>
        </w:rPr>
        <w:t xml:space="preserve"> </w:t>
      </w:r>
      <w:r w:rsidRPr="00696ACC">
        <w:rPr>
          <w:rFonts w:ascii="Arial" w:eastAsia="Calibri" w:hAnsi="Arial" w:cs="Arial"/>
          <w:b/>
          <w:kern w:val="0"/>
          <w14:ligatures w14:val="none"/>
        </w:rPr>
        <w:t>Managing Entity Monthly Progress Report,</w:t>
      </w:r>
      <w:r w:rsidRPr="00696ACC">
        <w:rPr>
          <w:rFonts w:ascii="Arial" w:eastAsia="Calibri" w:hAnsi="Arial" w:cs="Arial"/>
          <w:kern w:val="0"/>
          <w14:ligatures w14:val="none"/>
        </w:rPr>
        <w:t xml:space="preserve"> for the month that payment is requested.</w:t>
      </w:r>
    </w:p>
    <w:p w14:paraId="34DE76D7" w14:textId="77777777" w:rsidR="00696ACC" w:rsidRPr="00696ACC" w:rsidRDefault="00696ACC" w:rsidP="002B5A9F">
      <w:pPr>
        <w:numPr>
          <w:ilvl w:val="2"/>
          <w:numId w:val="1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Submit a properly completed </w:t>
      </w:r>
      <w:r w:rsidRPr="00696ACC">
        <w:rPr>
          <w:rFonts w:ascii="Arial" w:eastAsia="Calibri" w:hAnsi="Arial" w:cs="Arial"/>
          <w:b/>
          <w:kern w:val="0"/>
          <w14:ligatures w14:val="none"/>
        </w:rPr>
        <w:t>Template 12 – Managing Entity Monthly Expenditure Report</w:t>
      </w:r>
      <w:r w:rsidRPr="00696ACC">
        <w:rPr>
          <w:rFonts w:ascii="Arial" w:eastAsia="Calibri" w:hAnsi="Arial" w:cs="Arial"/>
          <w:kern w:val="0"/>
          <w14:ligatures w14:val="none"/>
        </w:rPr>
        <w:t>, detailing actual costs incurred by the Managing Entity for the month that payment is requested. The SAMH Managing Entity Monthly Expenditure Report shall be certified by an authorized representative; and</w:t>
      </w:r>
    </w:p>
    <w:p w14:paraId="5581E527" w14:textId="77777777" w:rsidR="00696ACC" w:rsidRPr="00696ACC" w:rsidRDefault="00696ACC" w:rsidP="002B5A9F">
      <w:pPr>
        <w:numPr>
          <w:ilvl w:val="2"/>
          <w:numId w:val="1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Submit a properly completed </w:t>
      </w:r>
      <w:r w:rsidRPr="00696ACC">
        <w:rPr>
          <w:rFonts w:ascii="Arial" w:eastAsia="Calibri" w:hAnsi="Arial" w:cs="Arial"/>
          <w:b/>
          <w:kern w:val="0"/>
          <w14:ligatures w14:val="none"/>
        </w:rPr>
        <w:t>Template 13 – Managing Entity Monthly Carry Forward Expenditure Report</w:t>
      </w:r>
      <w:r w:rsidRPr="00696ACC">
        <w:rPr>
          <w:rFonts w:ascii="Arial" w:eastAsia="Calibri" w:hAnsi="Arial" w:cs="Arial"/>
          <w:kern w:val="0"/>
          <w14:ligatures w14:val="none"/>
        </w:rPr>
        <w:t>, detailing the expenditure of approved carry forward funds, until said funds are fully expended.</w:t>
      </w:r>
    </w:p>
    <w:p w14:paraId="7340FB35" w14:textId="77777777" w:rsidR="00696ACC" w:rsidRPr="00696ACC" w:rsidRDefault="00696ACC" w:rsidP="002B5A9F">
      <w:pPr>
        <w:numPr>
          <w:ilvl w:val="2"/>
          <w:numId w:val="1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Submit a properly completed </w:t>
      </w:r>
      <w:r w:rsidRPr="00696ACC">
        <w:rPr>
          <w:rFonts w:ascii="Arial" w:eastAsia="Calibri" w:hAnsi="Arial" w:cs="Arial"/>
          <w:b/>
          <w:bCs/>
          <w:kern w:val="0"/>
          <w14:ligatures w14:val="none"/>
        </w:rPr>
        <w:t>Template 35 – FY 2023-24 $126M Reporting Log</w:t>
      </w:r>
      <w:r w:rsidRPr="00696ACC">
        <w:rPr>
          <w:rFonts w:ascii="Arial" w:eastAsia="Calibri" w:hAnsi="Arial" w:cs="Arial"/>
          <w:kern w:val="0"/>
          <w14:ligatures w14:val="none"/>
        </w:rPr>
        <w:t>, detailing the expenditure of funds for the expansion of access to behavioral health services throughout the state and reduce waitlists for services that support individuals, children and families with complex needs through teaming approaches, treatment, residential services, and recovery supports.</w:t>
      </w:r>
    </w:p>
    <w:p w14:paraId="1EF20BA1" w14:textId="77777777" w:rsidR="00696ACC" w:rsidRPr="00696ACC" w:rsidRDefault="00696ACC" w:rsidP="002B5A9F">
      <w:pPr>
        <w:keepNext/>
        <w:keepLines/>
        <w:numPr>
          <w:ilvl w:val="1"/>
          <w:numId w:val="11"/>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Failure to submit the properly completed required documentation shall cause payment to be delayed until such documentation is received. Submission and approval of the elements in </w:t>
      </w:r>
      <w:r w:rsidRPr="00696ACC">
        <w:rPr>
          <w:rFonts w:ascii="Arial" w:eastAsia="Calibri" w:hAnsi="Arial" w:cs="Arial"/>
          <w:b/>
          <w:kern w:val="0"/>
          <w14:ligatures w14:val="none"/>
        </w:rPr>
        <w:t xml:space="preserve">Sections F.3.1 </w:t>
      </w:r>
      <w:r w:rsidRPr="00696ACC">
        <w:rPr>
          <w:rFonts w:ascii="Arial" w:eastAsia="Calibri" w:hAnsi="Arial" w:cs="Arial"/>
          <w:kern w:val="0"/>
          <w14:ligatures w14:val="none"/>
        </w:rPr>
        <w:t>for the invoice period shall be considered the deliverables necessary for payment.</w:t>
      </w:r>
    </w:p>
    <w:p w14:paraId="46B4DE34" w14:textId="77777777" w:rsidR="00696ACC" w:rsidRPr="00696ACC" w:rsidRDefault="00696ACC" w:rsidP="002B5A9F">
      <w:pPr>
        <w:numPr>
          <w:ilvl w:val="1"/>
          <w:numId w:val="12"/>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Within five business days of receipt of a properly completed invoice and </w:t>
      </w:r>
      <w:r w:rsidRPr="00696ACC">
        <w:rPr>
          <w:rFonts w:ascii="Arial" w:eastAsia="Calibri" w:hAnsi="Arial" w:cs="Arial"/>
          <w:b/>
          <w:kern w:val="0"/>
          <w14:ligatures w14:val="none"/>
        </w:rPr>
        <w:t>Template 11 – Managing Entity Monthly Progress Report</w:t>
      </w:r>
      <w:r w:rsidRPr="00696ACC">
        <w:rPr>
          <w:rFonts w:ascii="Arial" w:eastAsia="Calibri" w:hAnsi="Arial" w:cs="Arial"/>
          <w:kern w:val="0"/>
          <w14:ligatures w14:val="none"/>
        </w:rPr>
        <w:t>, the Contract Manager will either approve the invoice for payment or notify the Managing Entity in writing of any deficiencies that must be corrected by the Managing Entity before resubmission of the invoice.</w:t>
      </w:r>
    </w:p>
    <w:p w14:paraId="23BD4C01" w14:textId="77777777" w:rsidR="00696ACC" w:rsidRPr="00696ACC" w:rsidRDefault="00696ACC" w:rsidP="002B5A9F">
      <w:pPr>
        <w:numPr>
          <w:ilvl w:val="1"/>
          <w:numId w:val="13"/>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The Department and the state’s Chief Financial Officer reserve the right to request supporting documentation at any time, prior to the authorization of payment.</w:t>
      </w:r>
    </w:p>
    <w:p w14:paraId="30199768" w14:textId="77777777" w:rsidR="00696ACC" w:rsidRPr="00696ACC" w:rsidRDefault="00696ACC" w:rsidP="002B5A9F">
      <w:pPr>
        <w:keepNext/>
        <w:numPr>
          <w:ilvl w:val="0"/>
          <w:numId w:val="10"/>
        </w:numPr>
        <w:spacing w:before="60" w:after="60" w:line="240" w:lineRule="auto"/>
        <w:ind w:left="0" w:firstLine="0"/>
        <w:contextualSpacing/>
        <w:outlineLvl w:val="0"/>
        <w:rPr>
          <w:rFonts w:ascii="Arial" w:eastAsia="Calibri" w:hAnsi="Arial" w:cs="Arial"/>
          <w:b/>
          <w:caps/>
          <w:kern w:val="0"/>
          <w:u w:val="single"/>
          <w14:ligatures w14:val="none"/>
        </w:rPr>
      </w:pPr>
      <w:r w:rsidRPr="00696ACC">
        <w:rPr>
          <w:rFonts w:ascii="Arial" w:eastAsia="Calibri" w:hAnsi="Arial" w:cs="Arial"/>
          <w:b/>
          <w:caps/>
          <w:kern w:val="0"/>
          <w:u w:val="single"/>
          <w14:ligatures w14:val="none"/>
        </w:rPr>
        <w:t>Cost Allocation Plan</w:t>
      </w:r>
    </w:p>
    <w:p w14:paraId="60D250D6" w14:textId="77777777" w:rsidR="00696ACC" w:rsidRPr="00696ACC" w:rsidRDefault="00696ACC" w:rsidP="002B5A9F">
      <w:pPr>
        <w:numPr>
          <w:ilvl w:val="1"/>
          <w:numId w:val="15"/>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Managing Entity shall submit an initial </w:t>
      </w:r>
      <w:r w:rsidRPr="00696ACC">
        <w:rPr>
          <w:rFonts w:ascii="Arial" w:eastAsia="Calibri" w:hAnsi="Arial" w:cs="Arial"/>
          <w:b/>
          <w:kern w:val="0"/>
          <w14:ligatures w14:val="none"/>
        </w:rPr>
        <w:t>Template 14 – Cost Allocation Plan</w:t>
      </w:r>
      <w:r w:rsidRPr="00696ACC">
        <w:rPr>
          <w:rFonts w:ascii="Arial" w:eastAsia="Calibri" w:hAnsi="Arial" w:cs="Arial"/>
          <w:kern w:val="0"/>
          <w14:ligatures w14:val="none"/>
        </w:rPr>
        <w:t xml:space="preserve"> within 30 days of execution and a revised Cost Allocation Plan to the Contract Manager annually by August 31, unless otherwise extended in writing by the Department.</w:t>
      </w:r>
    </w:p>
    <w:p w14:paraId="7F741CB2" w14:textId="77777777" w:rsidR="00696ACC" w:rsidRPr="00696ACC" w:rsidRDefault="00696ACC" w:rsidP="002B5A9F">
      <w:pPr>
        <w:numPr>
          <w:ilvl w:val="1"/>
          <w:numId w:val="16"/>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Department will review the Cost Allocation Plan and provide any comments within 15 days of submission. Revisions required by the Department shall be submitted by the date of the payment request for </w:t>
      </w:r>
      <w:r w:rsidRPr="00696ACC">
        <w:rPr>
          <w:rFonts w:ascii="Arial" w:eastAsia="Calibri" w:hAnsi="Arial" w:cs="Arial"/>
          <w:b/>
          <w:bCs/>
          <w:kern w:val="0"/>
          <w14:ligatures w14:val="none"/>
        </w:rPr>
        <w:t>September</w:t>
      </w:r>
      <w:r w:rsidRPr="00696ACC">
        <w:rPr>
          <w:rFonts w:ascii="Arial" w:eastAsia="Calibri" w:hAnsi="Arial" w:cs="Arial"/>
          <w:kern w:val="0"/>
          <w14:ligatures w14:val="none"/>
        </w:rPr>
        <w:t xml:space="preserve">. Failure to have an approved Cost Allocation Plan by </w:t>
      </w:r>
      <w:r w:rsidRPr="00696ACC">
        <w:rPr>
          <w:rFonts w:ascii="Arial" w:eastAsia="Calibri" w:hAnsi="Arial" w:cs="Arial"/>
          <w:b/>
          <w:bCs/>
          <w:kern w:val="0"/>
          <w14:ligatures w14:val="none"/>
        </w:rPr>
        <w:t>October 20</w:t>
      </w:r>
      <w:r w:rsidRPr="00696ACC">
        <w:rPr>
          <w:rFonts w:ascii="Arial" w:eastAsia="Calibri" w:hAnsi="Arial" w:cs="Arial"/>
          <w:kern w:val="0"/>
          <w14:ligatures w14:val="none"/>
        </w:rPr>
        <w:t>, unless extended in writing by the Department, will result in no further payment being made to the Managing Entity until the Department approves the Cost Allocation Plan.</w:t>
      </w:r>
    </w:p>
    <w:p w14:paraId="247DDBA4" w14:textId="77777777" w:rsidR="00696ACC" w:rsidRPr="00696ACC" w:rsidRDefault="00696ACC" w:rsidP="002B5A9F">
      <w:pPr>
        <w:numPr>
          <w:ilvl w:val="1"/>
          <w:numId w:val="14"/>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The Managing Entity shall submit a revised Cost Allocation Plan or a Cost Allocation Plan Addendum whenever the Managing Entity:</w:t>
      </w:r>
    </w:p>
    <w:p w14:paraId="0B5FE98A" w14:textId="77777777" w:rsidR="00696ACC" w:rsidRPr="00696ACC" w:rsidRDefault="00696ACC" w:rsidP="002B5A9F">
      <w:pPr>
        <w:numPr>
          <w:ilvl w:val="2"/>
          <w:numId w:val="41"/>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Experiences a change in the type of funding it receives, whether under this Contract or an outside funding source; for example, when a new OCA is added, when a new outside funding source contributes to the Managing Entity’s operational revenue or when an existing funding source is </w:t>
      </w:r>
      <w:proofErr w:type="gramStart"/>
      <w:r w:rsidRPr="00696ACC">
        <w:rPr>
          <w:rFonts w:ascii="Arial" w:eastAsia="Calibri" w:hAnsi="Arial" w:cs="Arial"/>
          <w:kern w:val="0"/>
          <w14:ligatures w14:val="none"/>
        </w:rPr>
        <w:t>discontinued;</w:t>
      </w:r>
      <w:proofErr w:type="gramEnd"/>
    </w:p>
    <w:p w14:paraId="798F0721" w14:textId="77777777" w:rsidR="00696ACC" w:rsidRPr="00696ACC" w:rsidRDefault="00696ACC" w:rsidP="002B5A9F">
      <w:pPr>
        <w:numPr>
          <w:ilvl w:val="2"/>
          <w:numId w:val="17"/>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Makes internal organizational changes that affect the cost allocation methodology; or</w:t>
      </w:r>
    </w:p>
    <w:p w14:paraId="7F117F6F" w14:textId="77777777" w:rsidR="00696ACC" w:rsidRPr="00696ACC" w:rsidRDefault="00696ACC" w:rsidP="002B5A9F">
      <w:pPr>
        <w:numPr>
          <w:ilvl w:val="2"/>
          <w:numId w:val="17"/>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Makes any changes in the allocation of costs relative to funds provided under this Contract and other outside sources.</w:t>
      </w:r>
    </w:p>
    <w:p w14:paraId="5D52CEAB" w14:textId="77777777" w:rsidR="00696ACC" w:rsidRPr="00696ACC" w:rsidRDefault="00696ACC" w:rsidP="002B5A9F">
      <w:pPr>
        <w:numPr>
          <w:ilvl w:val="1"/>
          <w:numId w:val="18"/>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The Managing Entity may request to amend or revise its Cost Allocation Plan at any time during the state fiscal year, in writing to the Contract Manager. The Managing Entity shall submit the amended or revised Cost Allocation Plan within 20 days of providing written notification. The Department will review and provide written comments within 15 days of submission. The Managing Entity must submit a revised Cost Allocation Plan or a Cost Allocation Plan Addendum addressing any revisions required by the Department, within 15 days of the date of the Department's written response.</w:t>
      </w:r>
    </w:p>
    <w:p w14:paraId="4CCF4E03" w14:textId="77777777" w:rsidR="00696ACC" w:rsidRPr="00696ACC" w:rsidRDefault="00696ACC" w:rsidP="002B5A9F">
      <w:pPr>
        <w:keepNext/>
        <w:numPr>
          <w:ilvl w:val="0"/>
          <w:numId w:val="17"/>
        </w:numPr>
        <w:spacing w:before="60" w:after="60" w:line="240" w:lineRule="auto"/>
        <w:ind w:left="0" w:firstLine="0"/>
        <w:outlineLvl w:val="0"/>
        <w:rPr>
          <w:rFonts w:ascii="Arial" w:eastAsia="Calibri" w:hAnsi="Arial" w:cs="Arial"/>
          <w:b/>
          <w:caps/>
          <w:kern w:val="0"/>
          <w:u w:val="single"/>
          <w14:ligatures w14:val="none"/>
        </w:rPr>
      </w:pPr>
      <w:r w:rsidRPr="00696ACC">
        <w:rPr>
          <w:rFonts w:ascii="Arial" w:eastAsia="Calibri" w:hAnsi="Arial" w:cs="Arial"/>
          <w:b/>
          <w:caps/>
          <w:kern w:val="0"/>
          <w:u w:val="single"/>
          <w14:ligatures w14:val="none"/>
        </w:rPr>
        <w:lastRenderedPageBreak/>
        <w:t>Carry Forward Funding</w:t>
      </w:r>
    </w:p>
    <w:p w14:paraId="47F0A567" w14:textId="77777777" w:rsidR="00696ACC" w:rsidRPr="00696ACC" w:rsidRDefault="00696ACC" w:rsidP="002B5A9F">
      <w:pPr>
        <w:numPr>
          <w:ilvl w:val="1"/>
          <w:numId w:val="19"/>
        </w:numPr>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 xml:space="preserve">In accordance with § 394.9082, F.S., the Managing Entity may carry forward documented unexpended state funds from one fiscal year to the next fiscal year, unless the following fiscal year falls outside the contract period, subject to the following conditions. </w:t>
      </w:r>
    </w:p>
    <w:p w14:paraId="760631DD" w14:textId="77777777" w:rsidR="00696ACC" w:rsidRPr="00696ACC" w:rsidRDefault="00696ACC" w:rsidP="002B5A9F">
      <w:pPr>
        <w:numPr>
          <w:ilvl w:val="2"/>
          <w:numId w:val="42"/>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Any funds carried forward shall be expended in accordance with the General Appropriations Act in effect when the funds were allocated to the Managing Entity. The Managing Entity may request the Department’s advance written approval authorizing proposed alternative uses of specifically allocated funds. </w:t>
      </w:r>
    </w:p>
    <w:p w14:paraId="66B3D622" w14:textId="77777777" w:rsidR="00696ACC" w:rsidRPr="00696ACC" w:rsidRDefault="00696ACC" w:rsidP="002B5A9F">
      <w:pPr>
        <w:numPr>
          <w:ilvl w:val="2"/>
          <w:numId w:val="2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cumulative amount carried forward may not exceed eight percent of the contract total. Any unexpended state funds in excess of eight percent must be returned to the Department. </w:t>
      </w:r>
    </w:p>
    <w:p w14:paraId="1C2AB118" w14:textId="77777777" w:rsidR="00696ACC" w:rsidRPr="00696ACC" w:rsidRDefault="00696ACC" w:rsidP="002B5A9F">
      <w:pPr>
        <w:numPr>
          <w:ilvl w:val="2"/>
          <w:numId w:val="2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funds carried forward may not be used in any way that would create increased recurring future obligations, and such funds may not be used for any type of program or service that is not currently authorized by this contract. </w:t>
      </w:r>
    </w:p>
    <w:p w14:paraId="2CD897EC" w14:textId="77777777" w:rsidR="00696ACC" w:rsidRPr="00696ACC" w:rsidRDefault="00696ACC" w:rsidP="002B5A9F">
      <w:pPr>
        <w:numPr>
          <w:ilvl w:val="2"/>
          <w:numId w:val="2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Any unexpended funds that remain at the end of the contract period shall be returned to the Department. </w:t>
      </w:r>
    </w:p>
    <w:p w14:paraId="0C49070A" w14:textId="77777777" w:rsidR="00696ACC" w:rsidRPr="00696ACC" w:rsidRDefault="00696ACC" w:rsidP="002B5A9F">
      <w:pPr>
        <w:numPr>
          <w:ilvl w:val="1"/>
          <w:numId w:val="21"/>
        </w:numPr>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 xml:space="preserve">Within 30 days after receiving confirmation of the approved carried forward amount from the Department, The Managing Entity shall submit a properly completed </w:t>
      </w:r>
      <w:r w:rsidRPr="00696ACC">
        <w:rPr>
          <w:rFonts w:ascii="Arial" w:eastAsia="Calibri" w:hAnsi="Arial" w:cs="Arial"/>
          <w:b/>
          <w:kern w:val="0"/>
          <w14:ligatures w14:val="none"/>
        </w:rPr>
        <w:t>Template 15 – Managing Entity Spending Plan for Carry Forward Report</w:t>
      </w:r>
      <w:r w:rsidRPr="00696ACC">
        <w:rPr>
          <w:rFonts w:ascii="Arial" w:eastAsia="Calibri" w:hAnsi="Arial" w:cs="Arial"/>
          <w:kern w:val="0"/>
          <w14:ligatures w14:val="none"/>
        </w:rPr>
        <w:t>.</w:t>
      </w:r>
    </w:p>
    <w:p w14:paraId="689FB6FD" w14:textId="77777777" w:rsidR="00696ACC" w:rsidRPr="00696ACC" w:rsidRDefault="00696ACC" w:rsidP="002B5A9F">
      <w:pPr>
        <w:numPr>
          <w:ilvl w:val="1"/>
          <w:numId w:val="22"/>
        </w:numPr>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 xml:space="preserve">The Managing Entity must submit a revised </w:t>
      </w:r>
      <w:r w:rsidRPr="00696ACC">
        <w:rPr>
          <w:rFonts w:ascii="Arial" w:eastAsia="Calibri" w:hAnsi="Arial" w:cs="Arial"/>
          <w:b/>
          <w:bCs/>
          <w:kern w:val="0"/>
          <w14:ligatures w14:val="none"/>
        </w:rPr>
        <w:t>Template 15 – Managing Entity Spending Plan for Carry Forward Report</w:t>
      </w:r>
      <w:r w:rsidRPr="00696ACC">
        <w:rPr>
          <w:rFonts w:ascii="Arial" w:eastAsia="Calibri" w:hAnsi="Arial" w:cs="Arial"/>
          <w:kern w:val="0"/>
          <w14:ligatures w14:val="none"/>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523BF621" w14:textId="77777777" w:rsidR="00696ACC" w:rsidRPr="00696ACC" w:rsidRDefault="00696ACC" w:rsidP="002B5A9F">
      <w:pPr>
        <w:numPr>
          <w:ilvl w:val="0"/>
          <w:numId w:val="20"/>
        </w:numPr>
        <w:spacing w:before="60" w:after="60" w:line="240" w:lineRule="auto"/>
        <w:ind w:left="0" w:firstLine="0"/>
        <w:contextualSpacing/>
        <w:outlineLvl w:val="0"/>
        <w:rPr>
          <w:rFonts w:ascii="Arial" w:eastAsia="Calibri" w:hAnsi="Arial" w:cs="Arial"/>
          <w:b/>
          <w:caps/>
          <w:kern w:val="0"/>
          <w:u w:val="single"/>
          <w14:ligatures w14:val="none"/>
        </w:rPr>
      </w:pPr>
      <w:r w:rsidRPr="00696ACC">
        <w:rPr>
          <w:rFonts w:ascii="Arial" w:eastAsia="Calibri" w:hAnsi="Arial" w:cs="Arial"/>
          <w:b/>
          <w:caps/>
          <w:kern w:val="0"/>
          <w:u w:val="single"/>
          <w14:ligatures w14:val="none"/>
        </w:rPr>
        <w:t>Allowable Costs</w:t>
      </w:r>
    </w:p>
    <w:p w14:paraId="615E313E" w14:textId="77777777" w:rsidR="00696ACC" w:rsidRPr="00696ACC" w:rsidRDefault="00696ACC" w:rsidP="002B5A9F">
      <w:pPr>
        <w:numPr>
          <w:ilvl w:val="1"/>
          <w:numId w:val="23"/>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All costs associated with performance of the services contemplated by this contract must be both reasonable and necessary and in compliance with the cost principles pursuant to 2 CFR Part 200 – Uniform Administrative Requirements, Cost Principles, and Audit Requirements for Federal Awards - Subpart E, 45 CFR Part 75 - Uniform Administrative Requirements, Cost Principles, and Audit Requirements for HHS Awards - Subpart E, The Reference Guide for State Expenditures, and Ch. 65E-14, F.A.C.</w:t>
      </w:r>
    </w:p>
    <w:p w14:paraId="75940EE2" w14:textId="77777777" w:rsidR="00696ACC" w:rsidRPr="00696ACC" w:rsidRDefault="00696ACC" w:rsidP="002B5A9F">
      <w:pPr>
        <w:numPr>
          <w:ilvl w:val="1"/>
          <w:numId w:val="24"/>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Unless otherwise specified in writing by the federal grant issuing agency, none of the funds provided under any federal grants may be used to pay the salary of an individual at a rate in excess of Level II of the Executive Schedule, published but the U.S. Office pf Personnel Management at: </w:t>
      </w:r>
    </w:p>
    <w:p w14:paraId="4C0BDB81" w14:textId="77777777" w:rsidR="00696ACC" w:rsidRPr="00696ACC" w:rsidRDefault="002B5A9F" w:rsidP="002B5A9F">
      <w:pPr>
        <w:spacing w:before="60" w:after="60" w:line="240" w:lineRule="auto"/>
        <w:contextualSpacing/>
        <w:outlineLvl w:val="0"/>
        <w:rPr>
          <w:rFonts w:ascii="Arial" w:eastAsia="Calibri" w:hAnsi="Arial" w:cs="Arial"/>
          <w:kern w:val="0"/>
          <w14:ligatures w14:val="none"/>
        </w:rPr>
      </w:pPr>
      <w:hyperlink r:id="rId5" w:history="1">
        <w:r w:rsidR="00696ACC" w:rsidRPr="00696ACC">
          <w:rPr>
            <w:rFonts w:ascii="Arial" w:eastAsia="Calibri" w:hAnsi="Arial" w:cs="Arial"/>
            <w:color w:val="0563C1"/>
            <w:kern w:val="0"/>
            <w:u w:val="single"/>
            <w14:ligatures w14:val="none"/>
          </w:rPr>
          <w:t>https://www.opm.gov/policy-data-oversight/pay-leave/salaries-wages/</w:t>
        </w:r>
      </w:hyperlink>
    </w:p>
    <w:p w14:paraId="7DF0B0D0" w14:textId="77777777" w:rsidR="00696ACC" w:rsidRPr="00696ACC" w:rsidRDefault="00696ACC" w:rsidP="002B5A9F">
      <w:pPr>
        <w:numPr>
          <w:ilvl w:val="1"/>
          <w:numId w:val="25"/>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Any compensation paid for an expenditure subsequently disallowed as a result of the Managing Entity’s or any Network Service Providers’ non-compliance with state or federal funding regulations shall be repaid to the Department upon discovery.</w:t>
      </w:r>
    </w:p>
    <w:p w14:paraId="15BC0A4F" w14:textId="77777777" w:rsidR="00696ACC" w:rsidRPr="00696ACC" w:rsidRDefault="00696ACC" w:rsidP="002B5A9F">
      <w:pPr>
        <w:numPr>
          <w:ilvl w:val="1"/>
          <w:numId w:val="26"/>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Invoices must be dated, signed by an authorized representative of the Managing Entity and submitted in accordance with the submission schedule in this contract, with appropriate service utilization and Individuals Served data accepted into the SAMH Data System, in accordance with PAM 155-2.</w:t>
      </w:r>
    </w:p>
    <w:p w14:paraId="69E43E28" w14:textId="77777777" w:rsidR="00696ACC" w:rsidRPr="00696ACC" w:rsidRDefault="00696ACC" w:rsidP="002B5A9F">
      <w:pPr>
        <w:numPr>
          <w:ilvl w:val="1"/>
          <w:numId w:val="27"/>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Managing Entity is expressly prohibited from expending funds specified as “Direct Services Costs” in </w:t>
      </w:r>
      <w:r w:rsidRPr="00696ACC">
        <w:rPr>
          <w:rFonts w:ascii="Arial" w:eastAsia="Calibri" w:hAnsi="Arial" w:cs="Arial"/>
          <w:b/>
          <w:kern w:val="0"/>
          <w14:ligatures w14:val="none"/>
        </w:rPr>
        <w:t>Table 8,</w:t>
      </w:r>
      <w:r w:rsidRPr="00696ACC">
        <w:rPr>
          <w:rFonts w:ascii="Arial" w:eastAsia="Calibri" w:hAnsi="Arial" w:cs="Arial"/>
          <w:kern w:val="0"/>
          <w14:ligatures w14:val="none"/>
        </w:rPr>
        <w:t xml:space="preserve"> for anything other than a subcontract with a Network Service Provider.</w:t>
      </w:r>
    </w:p>
    <w:p w14:paraId="74316CFA" w14:textId="77777777" w:rsidR="00696ACC" w:rsidRPr="00696ACC" w:rsidRDefault="00696ACC" w:rsidP="002B5A9F">
      <w:pPr>
        <w:keepNext/>
        <w:numPr>
          <w:ilvl w:val="0"/>
          <w:numId w:val="23"/>
        </w:numPr>
        <w:spacing w:before="60" w:after="60" w:line="240" w:lineRule="auto"/>
        <w:ind w:left="0" w:firstLine="0"/>
        <w:contextualSpacing/>
        <w:outlineLvl w:val="0"/>
        <w:rPr>
          <w:rFonts w:ascii="Arial" w:eastAsia="Calibri" w:hAnsi="Arial" w:cs="Arial"/>
          <w:b/>
          <w:caps/>
          <w:kern w:val="0"/>
          <w:u w:val="single"/>
          <w14:ligatures w14:val="none"/>
        </w:rPr>
      </w:pPr>
      <w:r w:rsidRPr="00696ACC">
        <w:rPr>
          <w:rFonts w:ascii="Arial" w:eastAsia="Calibri" w:hAnsi="Arial" w:cs="Arial"/>
          <w:b/>
          <w:caps/>
          <w:kern w:val="0"/>
          <w:u w:val="single"/>
          <w14:ligatures w14:val="none"/>
        </w:rPr>
        <w:t>Financial Reconciliation</w:t>
      </w:r>
    </w:p>
    <w:p w14:paraId="272EBAF8" w14:textId="77777777" w:rsidR="00696ACC" w:rsidRPr="00696ACC" w:rsidRDefault="00696ACC" w:rsidP="002B5A9F">
      <w:pPr>
        <w:numPr>
          <w:ilvl w:val="1"/>
          <w:numId w:val="28"/>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The Managing Entity shall submit reports that reflect the Managing Entity's actual operational cost and the actual service cost of the Network in accordance with </w:t>
      </w:r>
      <w:r w:rsidRPr="00696ACC">
        <w:rPr>
          <w:rFonts w:ascii="Arial" w:eastAsia="Calibri" w:hAnsi="Arial" w:cs="Arial"/>
          <w:b/>
          <w:kern w:val="0"/>
          <w14:ligatures w14:val="none"/>
        </w:rPr>
        <w:t>Exhibit F2</w:t>
      </w:r>
      <w:r w:rsidRPr="00696ACC">
        <w:rPr>
          <w:rFonts w:ascii="Arial" w:eastAsia="Calibri" w:hAnsi="Arial" w:cs="Arial"/>
          <w:kern w:val="0"/>
          <w14:ligatures w14:val="none"/>
        </w:rPr>
        <w:t xml:space="preserve">. The Managing Entity shall submit a final Managing Entity Monthly Expenditure Report annually no </w:t>
      </w:r>
      <w:r w:rsidRPr="00696ACC">
        <w:rPr>
          <w:rFonts w:ascii="Arial" w:eastAsia="Calibri" w:hAnsi="Arial" w:cs="Arial"/>
          <w:kern w:val="0"/>
          <w14:ligatures w14:val="none"/>
        </w:rPr>
        <w:lastRenderedPageBreak/>
        <w:t>later than August 15. Payment for the final month of the fiscal year and carry forward shall not be approved until final reconciliation has been completed by the Department.</w:t>
      </w:r>
    </w:p>
    <w:p w14:paraId="46C77138" w14:textId="77777777" w:rsidR="00696ACC" w:rsidRPr="00696ACC" w:rsidRDefault="00696ACC" w:rsidP="002B5A9F">
      <w:pPr>
        <w:numPr>
          <w:ilvl w:val="1"/>
          <w:numId w:val="29"/>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The Department will reconcile actual expenditures reported to the funds disbursed to the Managing Entity based on the properly completed Managing Entity Monthly Expenditure Reports and the Managing Entity Monthly Carry Forward Expenditure Reports, according to the following schedule:</w:t>
      </w:r>
    </w:p>
    <w:p w14:paraId="6C4F42DD" w14:textId="77777777" w:rsidR="00696ACC" w:rsidRPr="00696ACC" w:rsidRDefault="00696ACC" w:rsidP="002B5A9F">
      <w:pPr>
        <w:numPr>
          <w:ilvl w:val="2"/>
          <w:numId w:val="30"/>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Quarterly, after </w:t>
      </w:r>
      <w:r w:rsidRPr="00696ACC">
        <w:rPr>
          <w:rFonts w:ascii="Arial" w:eastAsia="Calibri" w:hAnsi="Arial" w:cs="Arial"/>
          <w:b/>
          <w:bCs/>
          <w:kern w:val="0"/>
          <w14:ligatures w14:val="none"/>
        </w:rPr>
        <w:t>September 30</w:t>
      </w:r>
      <w:r w:rsidRPr="00696ACC">
        <w:rPr>
          <w:rFonts w:ascii="Arial" w:eastAsia="Calibri" w:hAnsi="Arial" w:cs="Arial"/>
          <w:kern w:val="0"/>
          <w14:ligatures w14:val="none"/>
        </w:rPr>
        <w:t xml:space="preserve">, </w:t>
      </w:r>
      <w:r w:rsidRPr="00696ACC">
        <w:rPr>
          <w:rFonts w:ascii="Arial" w:eastAsia="Calibri" w:hAnsi="Arial" w:cs="Arial"/>
          <w:b/>
          <w:bCs/>
          <w:kern w:val="0"/>
          <w14:ligatures w14:val="none"/>
        </w:rPr>
        <w:t>December 31</w:t>
      </w:r>
      <w:r w:rsidRPr="00696ACC">
        <w:rPr>
          <w:rFonts w:ascii="Arial" w:eastAsia="Calibri" w:hAnsi="Arial" w:cs="Arial"/>
          <w:kern w:val="0"/>
          <w14:ligatures w14:val="none"/>
        </w:rPr>
        <w:t xml:space="preserve">, and </w:t>
      </w:r>
      <w:r w:rsidRPr="00696ACC">
        <w:rPr>
          <w:rFonts w:ascii="Arial" w:eastAsia="Calibri" w:hAnsi="Arial" w:cs="Arial"/>
          <w:b/>
          <w:bCs/>
          <w:kern w:val="0"/>
          <w14:ligatures w14:val="none"/>
        </w:rPr>
        <w:t>March 31</w:t>
      </w:r>
      <w:r w:rsidRPr="00696ACC">
        <w:rPr>
          <w:rFonts w:ascii="Arial" w:eastAsia="Calibri" w:hAnsi="Arial" w:cs="Arial"/>
          <w:kern w:val="0"/>
          <w14:ligatures w14:val="none"/>
        </w:rPr>
        <w:t xml:space="preserve"> each state fiscal year during desk reviews; and</w:t>
      </w:r>
    </w:p>
    <w:p w14:paraId="37C50A1A" w14:textId="77777777" w:rsidR="00696ACC" w:rsidRPr="00696ACC" w:rsidRDefault="00696ACC" w:rsidP="002B5A9F">
      <w:pPr>
        <w:numPr>
          <w:ilvl w:val="2"/>
          <w:numId w:val="31"/>
        </w:numPr>
        <w:tabs>
          <w:tab w:val="left" w:pos="900"/>
        </w:tabs>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Annually, after </w:t>
      </w:r>
      <w:r w:rsidRPr="00696ACC">
        <w:rPr>
          <w:rFonts w:ascii="Arial" w:eastAsia="Calibri" w:hAnsi="Arial" w:cs="Arial"/>
          <w:b/>
          <w:bCs/>
          <w:kern w:val="0"/>
          <w14:ligatures w14:val="none"/>
        </w:rPr>
        <w:t>June 30</w:t>
      </w:r>
      <w:r w:rsidRPr="00696ACC">
        <w:rPr>
          <w:rFonts w:ascii="Arial" w:eastAsia="Calibri" w:hAnsi="Arial" w:cs="Arial"/>
          <w:kern w:val="0"/>
          <w14:ligatures w14:val="none"/>
        </w:rPr>
        <w:t xml:space="preserve"> each state fiscal year during year end reconciliation. </w:t>
      </w:r>
    </w:p>
    <w:p w14:paraId="1D215DFD" w14:textId="77777777" w:rsidR="00696ACC" w:rsidRPr="00696ACC" w:rsidRDefault="00696ACC" w:rsidP="002B5A9F">
      <w:pPr>
        <w:numPr>
          <w:ilvl w:val="1"/>
          <w:numId w:val="32"/>
        </w:numPr>
        <w:spacing w:before="60" w:after="60" w:line="240" w:lineRule="auto"/>
        <w:ind w:left="0" w:firstLine="0"/>
        <w:contextualSpacing/>
        <w:outlineLvl w:val="0"/>
        <w:rPr>
          <w:rFonts w:ascii="Arial" w:eastAsia="Calibri" w:hAnsi="Arial" w:cs="Arial"/>
          <w:kern w:val="0"/>
          <w14:ligatures w14:val="none"/>
        </w:rPr>
      </w:pPr>
      <w:r w:rsidRPr="00696ACC">
        <w:rPr>
          <w:rFonts w:ascii="Arial" w:eastAsia="Calibri" w:hAnsi="Arial" w:cs="Arial"/>
          <w:kern w:val="0"/>
          <w14:ligatures w14:val="none"/>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696ACC">
        <w:rPr>
          <w:rFonts w:ascii="Arial" w:eastAsia="Calibri" w:hAnsi="Arial" w:cs="Arial"/>
          <w:b/>
          <w:kern w:val="0"/>
          <w14:ligatures w14:val="none"/>
        </w:rPr>
        <w:t>Section 3.5</w:t>
      </w:r>
      <w:r w:rsidRPr="00696ACC">
        <w:rPr>
          <w:rFonts w:ascii="Arial" w:eastAsia="Calibri" w:hAnsi="Arial" w:cs="Arial"/>
          <w:kern w:val="0"/>
          <w14:ligatures w14:val="none"/>
        </w:rPr>
        <w:t>. In the event an overpayment is identified after the end of a fiscal year and no further invoice is due, the Managing Entity shall remit the overpayment to the Department via check.</w:t>
      </w:r>
    </w:p>
    <w:p w14:paraId="241F84E2" w14:textId="77777777" w:rsidR="00696ACC" w:rsidRPr="00696ACC" w:rsidRDefault="00696ACC" w:rsidP="002B5A9F">
      <w:pPr>
        <w:keepNext/>
        <w:numPr>
          <w:ilvl w:val="0"/>
          <w:numId w:val="23"/>
        </w:numPr>
        <w:spacing w:before="60" w:after="60" w:line="240" w:lineRule="auto"/>
        <w:ind w:left="0" w:firstLine="0"/>
        <w:outlineLvl w:val="0"/>
        <w:rPr>
          <w:rFonts w:ascii="Arial" w:eastAsia="Calibri" w:hAnsi="Arial" w:cs="Arial"/>
          <w:b/>
          <w:caps/>
          <w:kern w:val="0"/>
          <w:u w:val="single"/>
          <w14:ligatures w14:val="none"/>
        </w:rPr>
      </w:pPr>
      <w:r w:rsidRPr="00696ACC">
        <w:rPr>
          <w:rFonts w:ascii="Arial" w:eastAsia="Calibri" w:hAnsi="Arial" w:cs="Arial"/>
          <w:b/>
          <w:caps/>
          <w:kern w:val="0"/>
          <w:u w:val="single"/>
          <w14:ligatures w14:val="none"/>
        </w:rPr>
        <w:t>Supplemental FEMA Crisis Counseling Program (CCP) Provisions</w:t>
      </w:r>
    </w:p>
    <w:p w14:paraId="6839A100" w14:textId="77777777" w:rsidR="00696ACC" w:rsidRPr="00696ACC" w:rsidRDefault="00696ACC" w:rsidP="002B5A9F">
      <w:pPr>
        <w:keepNext/>
        <w:spacing w:before="60" w:after="60" w:line="240" w:lineRule="auto"/>
        <w:outlineLvl w:val="0"/>
        <w:rPr>
          <w:rFonts w:ascii="Arial" w:eastAsia="Calibri" w:hAnsi="Arial" w:cs="Arial"/>
          <w:kern w:val="0"/>
          <w14:ligatures w14:val="none"/>
        </w:rPr>
      </w:pPr>
      <w:r w:rsidRPr="00696ACC">
        <w:rPr>
          <w:rFonts w:ascii="Arial" w:eastAsia="Calibri" w:hAnsi="Arial" w:cs="Arial"/>
          <w:kern w:val="0"/>
          <w14:ligatures w14:val="none"/>
        </w:rPr>
        <w:t xml:space="preserve">Whenever the Department authorizes FEMA Crisis Counseling Program (CCP) services, pursuant to </w:t>
      </w:r>
      <w:r w:rsidRPr="00696ACC">
        <w:rPr>
          <w:rFonts w:ascii="Arial" w:eastAsia="Calibri" w:hAnsi="Arial" w:cs="Arial"/>
          <w:b/>
          <w:kern w:val="0"/>
          <w14:ligatures w14:val="none"/>
        </w:rPr>
        <w:t>Section C-1.6</w:t>
      </w:r>
      <w:r w:rsidRPr="00696ACC">
        <w:rPr>
          <w:rFonts w:ascii="Arial" w:eastAsia="Calibri" w:hAnsi="Arial" w:cs="Arial"/>
          <w:kern w:val="0"/>
          <w14:ligatures w14:val="none"/>
        </w:rPr>
        <w:t>, the following provisions shall apply, notwithstanding any provisions in this Contract to the contrary.</w:t>
      </w:r>
    </w:p>
    <w:p w14:paraId="05E2611C" w14:textId="77777777" w:rsidR="00696ACC" w:rsidRPr="00696ACC" w:rsidRDefault="00696ACC" w:rsidP="002B5A9F">
      <w:pPr>
        <w:keepNext/>
        <w:numPr>
          <w:ilvl w:val="1"/>
          <w:numId w:val="33"/>
        </w:numPr>
        <w:spacing w:before="60" w:after="60" w:line="240" w:lineRule="auto"/>
        <w:ind w:left="0" w:firstLine="0"/>
        <w:outlineLvl w:val="0"/>
        <w:rPr>
          <w:rFonts w:ascii="Arial" w:eastAsia="Calibri" w:hAnsi="Arial" w:cs="Arial"/>
          <w:b/>
          <w:kern w:val="0"/>
          <w14:ligatures w14:val="none"/>
        </w:rPr>
      </w:pPr>
      <w:r w:rsidRPr="00696ACC">
        <w:rPr>
          <w:rFonts w:ascii="Arial" w:eastAsia="Calibri" w:hAnsi="Arial" w:cs="Arial"/>
          <w:b/>
          <w:kern w:val="0"/>
          <w14:ligatures w14:val="none"/>
        </w:rPr>
        <w:t>Supplemental Payments</w:t>
      </w:r>
    </w:p>
    <w:p w14:paraId="58B4160F" w14:textId="77777777" w:rsidR="00696ACC" w:rsidRPr="00696ACC" w:rsidRDefault="00696ACC" w:rsidP="002B5A9F">
      <w:pPr>
        <w:numPr>
          <w:ilvl w:val="2"/>
          <w:numId w:val="43"/>
        </w:numPr>
        <w:tabs>
          <w:tab w:val="left" w:pos="90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 xml:space="preserve">The terms of </w:t>
      </w:r>
      <w:r w:rsidRPr="00696ACC">
        <w:rPr>
          <w:rFonts w:ascii="Arial" w:eastAsia="Calibri" w:hAnsi="Arial" w:cs="Arial"/>
          <w:b/>
          <w:kern w:val="0"/>
          <w14:ligatures w14:val="none"/>
        </w:rPr>
        <w:t>Section F.2</w:t>
      </w:r>
      <w:r w:rsidRPr="00696ACC">
        <w:rPr>
          <w:rFonts w:ascii="Arial" w:eastAsia="Calibri" w:hAnsi="Arial" w:cs="Arial"/>
          <w:kern w:val="0"/>
          <w14:ligatures w14:val="none"/>
        </w:rPr>
        <w:t xml:space="preserve"> notwithstanding, the Department will pay the Managing Entity each month for the amount of actual expenditures incurred by the Managing Entity or its Network Service Providers in the course of providing CCP services. </w:t>
      </w:r>
    </w:p>
    <w:p w14:paraId="0FBF21B5" w14:textId="77777777" w:rsidR="00696ACC" w:rsidRPr="00696ACC" w:rsidRDefault="00696ACC" w:rsidP="002B5A9F">
      <w:pPr>
        <w:numPr>
          <w:ilvl w:val="2"/>
          <w:numId w:val="44"/>
        </w:numPr>
        <w:tabs>
          <w:tab w:val="left" w:pos="90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 xml:space="preserve">Funds designated In </w:t>
      </w:r>
      <w:r w:rsidRPr="00696ACC">
        <w:rPr>
          <w:rFonts w:ascii="Arial" w:eastAsia="Calibri" w:hAnsi="Arial" w:cs="Arial"/>
          <w:b/>
          <w:kern w:val="0"/>
          <w14:ligatures w14:val="none"/>
        </w:rPr>
        <w:t>Exhibit F1</w:t>
      </w:r>
      <w:r w:rsidRPr="00696ACC">
        <w:rPr>
          <w:rFonts w:ascii="Arial" w:eastAsia="Calibri" w:hAnsi="Arial" w:cs="Arial"/>
          <w:kern w:val="0"/>
          <w14:ligatures w14:val="none"/>
        </w:rPr>
        <w:t xml:space="preserve"> for CCP services shall be excluded from the fixed payment calculations specified in </w:t>
      </w:r>
      <w:r w:rsidRPr="00696ACC">
        <w:rPr>
          <w:rFonts w:ascii="Arial" w:eastAsia="Calibri" w:hAnsi="Arial" w:cs="Arial"/>
          <w:b/>
          <w:kern w:val="0"/>
          <w14:ligatures w14:val="none"/>
        </w:rPr>
        <w:t>Exhibit F2.</w:t>
      </w:r>
      <w:r w:rsidRPr="00696ACC">
        <w:rPr>
          <w:rFonts w:ascii="Arial" w:eastAsia="Calibri" w:hAnsi="Arial" w:cs="Arial"/>
          <w:kern w:val="0"/>
          <w14:ligatures w14:val="none"/>
        </w:rPr>
        <w:t xml:space="preserve"> </w:t>
      </w:r>
    </w:p>
    <w:p w14:paraId="327CD194" w14:textId="77777777" w:rsidR="00696ACC" w:rsidRPr="00696ACC" w:rsidRDefault="00696ACC" w:rsidP="002B5A9F">
      <w:pPr>
        <w:numPr>
          <w:ilvl w:val="2"/>
          <w:numId w:val="45"/>
        </w:numPr>
        <w:tabs>
          <w:tab w:val="left" w:pos="90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For each authorized CCP service event, the Department shall, by amendment, specify a method of payment, a payment schedule, and a schedule for quarterly and final actual expenditure reconciliations tailored to the Department’s needs assessment projecting the duration of required CCP services.</w:t>
      </w:r>
    </w:p>
    <w:p w14:paraId="7980F6C6" w14:textId="77777777" w:rsidR="00696ACC" w:rsidRPr="00696ACC" w:rsidRDefault="00696ACC" w:rsidP="002B5A9F">
      <w:pPr>
        <w:numPr>
          <w:ilvl w:val="3"/>
          <w:numId w:val="23"/>
        </w:numPr>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In the event the Department projects the duration to be no more than 60 days from the date of a qualifying Presidential Emergency Declaration authorizing CCP services, the method of payment shall be via cost reimbursement invoicing.</w:t>
      </w:r>
    </w:p>
    <w:p w14:paraId="63880C3A" w14:textId="77777777" w:rsidR="00696ACC" w:rsidRPr="00696ACC" w:rsidRDefault="00696ACC" w:rsidP="002B5A9F">
      <w:pPr>
        <w:numPr>
          <w:ilvl w:val="3"/>
          <w:numId w:val="23"/>
        </w:numPr>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In the event the Department projects the duration to exceed 60 days from the date of a qualifying Presidential Emergency Declaration, the Department may elect to provide pro-rata monthly Network Service Provider payments based on a percentage of the approved budget narrative, subject to a final reconciliation payment.</w:t>
      </w:r>
    </w:p>
    <w:p w14:paraId="754A0879" w14:textId="77777777" w:rsidR="00696ACC" w:rsidRPr="00696ACC" w:rsidRDefault="00696ACC" w:rsidP="002B5A9F">
      <w:pPr>
        <w:numPr>
          <w:ilvl w:val="4"/>
          <w:numId w:val="34"/>
        </w:numPr>
        <w:tabs>
          <w:tab w:val="left" w:pos="162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The Department reserves the right to suspend pro-rata monthly payments for CCP services if, in the Department’s determination, any quarterly financial reconciliation identifies the risk of unearned funds at the conclusion of a CCP.</w:t>
      </w:r>
    </w:p>
    <w:p w14:paraId="34341061" w14:textId="77777777" w:rsidR="00696ACC" w:rsidRPr="00696ACC" w:rsidRDefault="00696ACC" w:rsidP="002B5A9F">
      <w:pPr>
        <w:spacing w:before="60" w:after="60" w:line="240" w:lineRule="auto"/>
        <w:outlineLvl w:val="0"/>
        <w:rPr>
          <w:rFonts w:ascii="Arial" w:eastAsia="Times New Roman" w:hAnsi="Arial" w:cs="Times New Roman"/>
          <w:kern w:val="0"/>
          <w:szCs w:val="20"/>
          <w14:ligatures w14:val="none"/>
        </w:rPr>
      </w:pPr>
      <w:r w:rsidRPr="00696ACC">
        <w:rPr>
          <w:rFonts w:ascii="Arial" w:eastAsia="Times New Roman" w:hAnsi="Arial" w:cs="Times New Roman"/>
          <w:b/>
          <w:bCs/>
          <w:kern w:val="0"/>
          <w:szCs w:val="20"/>
          <w14:ligatures w14:val="none"/>
        </w:rPr>
        <w:t>F.8.1.3.2.2</w:t>
      </w:r>
      <w:r w:rsidRPr="00696ACC">
        <w:rPr>
          <w:rFonts w:ascii="Arial" w:eastAsia="Times New Roman" w:hAnsi="Arial" w:cs="Times New Roman"/>
          <w:kern w:val="0"/>
          <w:szCs w:val="20"/>
          <w14:ligatures w14:val="none"/>
        </w:rPr>
        <w:tab/>
        <w:t xml:space="preserve">   In the event the Department identifies actual unearned funds as a result of the final financial reconciliation of a CCP, the Managing Entity shall return the identified amount within 10 business days of the Department’s notification of unearned funds.</w:t>
      </w:r>
    </w:p>
    <w:p w14:paraId="4C652DFB" w14:textId="77777777" w:rsidR="00696ACC" w:rsidRPr="00696ACC" w:rsidRDefault="00696ACC" w:rsidP="002B5A9F">
      <w:pPr>
        <w:keepNext/>
        <w:numPr>
          <w:ilvl w:val="1"/>
          <w:numId w:val="35"/>
        </w:numPr>
        <w:spacing w:before="60" w:after="60" w:line="240" w:lineRule="auto"/>
        <w:ind w:left="0" w:firstLine="0"/>
        <w:outlineLvl w:val="0"/>
        <w:rPr>
          <w:rFonts w:ascii="Arial" w:eastAsia="Calibri" w:hAnsi="Arial" w:cs="Arial"/>
          <w:b/>
          <w:kern w:val="0"/>
          <w14:ligatures w14:val="none"/>
        </w:rPr>
      </w:pPr>
      <w:r w:rsidRPr="00696ACC">
        <w:rPr>
          <w:rFonts w:ascii="Arial" w:eastAsia="Calibri" w:hAnsi="Arial" w:cs="Arial"/>
          <w:b/>
          <w:kern w:val="0"/>
          <w14:ligatures w14:val="none"/>
        </w:rPr>
        <w:t>Supplemental Allowable Costs</w:t>
      </w:r>
    </w:p>
    <w:p w14:paraId="60A1E0BB" w14:textId="77777777" w:rsidR="00696ACC" w:rsidRPr="00696ACC" w:rsidRDefault="00696ACC" w:rsidP="002B5A9F">
      <w:pPr>
        <w:numPr>
          <w:ilvl w:val="2"/>
          <w:numId w:val="36"/>
        </w:numPr>
        <w:tabs>
          <w:tab w:val="left" w:pos="90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 xml:space="preserve">The terms of </w:t>
      </w:r>
      <w:r w:rsidRPr="00696ACC">
        <w:rPr>
          <w:rFonts w:ascii="Arial" w:eastAsia="Calibri" w:hAnsi="Arial" w:cs="Arial"/>
          <w:b/>
          <w:kern w:val="0"/>
          <w14:ligatures w14:val="none"/>
        </w:rPr>
        <w:t xml:space="preserve">Section F.6 </w:t>
      </w:r>
      <w:r w:rsidRPr="00696ACC">
        <w:rPr>
          <w:rFonts w:ascii="Arial" w:eastAsia="Calibri" w:hAnsi="Arial" w:cs="Arial"/>
          <w:kern w:val="0"/>
          <w14:ligatures w14:val="none"/>
        </w:rPr>
        <w:t>notwithstanding, allowable costs for CCP services are expressly limited to the extent such expenditures are allowable under the terms and conditions of any funds awarded to the Department for the purpose of responding to a specific disaster event.</w:t>
      </w:r>
    </w:p>
    <w:p w14:paraId="3D374B03" w14:textId="77777777" w:rsidR="00696ACC" w:rsidRPr="00696ACC" w:rsidRDefault="00696ACC" w:rsidP="002B5A9F">
      <w:pPr>
        <w:numPr>
          <w:ilvl w:val="2"/>
          <w:numId w:val="23"/>
        </w:numPr>
        <w:tabs>
          <w:tab w:val="left" w:pos="90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lastRenderedPageBreak/>
        <w:t xml:space="preserve">In response to each event, the Notice of Award, the Department’s CCP application, plan of service, and budget narratives identifying allowable costs shall be incorporated by reference into </w:t>
      </w:r>
      <w:r w:rsidRPr="00696ACC">
        <w:rPr>
          <w:rFonts w:ascii="Arial" w:eastAsia="Calibri" w:hAnsi="Arial" w:cs="Arial"/>
          <w:b/>
          <w:kern w:val="0"/>
          <w14:ligatures w14:val="none"/>
        </w:rPr>
        <w:t>Exhibit C1</w:t>
      </w:r>
      <w:r w:rsidRPr="00696ACC">
        <w:rPr>
          <w:rFonts w:ascii="Arial" w:eastAsia="Calibri" w:hAnsi="Arial" w:cs="Arial"/>
          <w:kern w:val="0"/>
          <w14:ligatures w14:val="none"/>
        </w:rPr>
        <w:t xml:space="preserve">. </w:t>
      </w:r>
    </w:p>
    <w:p w14:paraId="0D458D35" w14:textId="77777777" w:rsidR="00696ACC" w:rsidRPr="00696ACC" w:rsidRDefault="00696ACC" w:rsidP="002B5A9F">
      <w:pPr>
        <w:keepNext/>
        <w:numPr>
          <w:ilvl w:val="1"/>
          <w:numId w:val="37"/>
        </w:numPr>
        <w:tabs>
          <w:tab w:val="left" w:pos="900"/>
        </w:tabs>
        <w:spacing w:before="60" w:after="60" w:line="240" w:lineRule="auto"/>
        <w:ind w:left="0" w:firstLine="0"/>
        <w:outlineLvl w:val="0"/>
        <w:rPr>
          <w:rFonts w:ascii="Arial" w:eastAsia="Calibri" w:hAnsi="Arial" w:cs="Arial"/>
          <w:b/>
          <w:kern w:val="0"/>
          <w14:ligatures w14:val="none"/>
        </w:rPr>
      </w:pPr>
      <w:r w:rsidRPr="00696ACC">
        <w:rPr>
          <w:rFonts w:ascii="Arial" w:eastAsia="Calibri" w:hAnsi="Arial" w:cs="Arial"/>
          <w:b/>
          <w:kern w:val="0"/>
          <w14:ligatures w14:val="none"/>
        </w:rPr>
        <w:t>Supplemental Invoices</w:t>
      </w:r>
    </w:p>
    <w:p w14:paraId="4046D8EF" w14:textId="77777777" w:rsidR="00696ACC" w:rsidRPr="00696ACC" w:rsidRDefault="00696ACC" w:rsidP="002B5A9F">
      <w:pPr>
        <w:numPr>
          <w:ilvl w:val="2"/>
          <w:numId w:val="38"/>
        </w:numPr>
        <w:tabs>
          <w:tab w:val="left" w:pos="90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 xml:space="preserve">The terms of </w:t>
      </w:r>
      <w:r w:rsidRPr="00696ACC">
        <w:rPr>
          <w:rFonts w:ascii="Arial" w:eastAsia="Calibri" w:hAnsi="Arial" w:cs="Arial"/>
          <w:b/>
          <w:kern w:val="0"/>
          <w14:ligatures w14:val="none"/>
        </w:rPr>
        <w:t>Section F.3</w:t>
      </w:r>
      <w:r w:rsidRPr="00696ACC">
        <w:rPr>
          <w:rFonts w:ascii="Arial" w:eastAsia="Calibri" w:hAnsi="Arial" w:cs="Arial"/>
          <w:kern w:val="0"/>
          <w14:ligatures w14:val="none"/>
        </w:rPr>
        <w:t xml:space="preserve"> notwithstanding, the Managing Entity shall request payment for CCP services through submission of </w:t>
      </w:r>
      <w:r w:rsidRPr="00696ACC">
        <w:rPr>
          <w:rFonts w:ascii="Arial" w:eastAsia="Calibri" w:hAnsi="Arial" w:cs="Arial"/>
          <w:b/>
          <w:kern w:val="0"/>
          <w14:ligatures w14:val="none"/>
        </w:rPr>
        <w:t>Template 24 - CCP Supplemental Invoice and Expenditure Report</w:t>
      </w:r>
      <w:r w:rsidRPr="00696ACC">
        <w:rPr>
          <w:rFonts w:ascii="Arial" w:eastAsia="Calibri" w:hAnsi="Arial" w:cs="Arial"/>
          <w:kern w:val="0"/>
          <w14:ligatures w14:val="none"/>
        </w:rPr>
        <w:t xml:space="preserve">. </w:t>
      </w:r>
    </w:p>
    <w:p w14:paraId="78FD28E1" w14:textId="77777777" w:rsidR="00696ACC" w:rsidRPr="00696ACC" w:rsidRDefault="00696ACC" w:rsidP="002B5A9F">
      <w:pPr>
        <w:numPr>
          <w:ilvl w:val="2"/>
          <w:numId w:val="39"/>
        </w:numPr>
        <w:tabs>
          <w:tab w:val="left" w:pos="900"/>
        </w:tabs>
        <w:spacing w:before="60" w:after="60" w:line="240" w:lineRule="auto"/>
        <w:ind w:left="0" w:firstLine="0"/>
        <w:outlineLvl w:val="0"/>
        <w:rPr>
          <w:rFonts w:ascii="Arial" w:eastAsia="Calibri" w:hAnsi="Arial" w:cs="Arial"/>
          <w:kern w:val="0"/>
          <w14:ligatures w14:val="none"/>
        </w:rPr>
      </w:pPr>
      <w:r w:rsidRPr="00696ACC">
        <w:rPr>
          <w:rFonts w:ascii="Arial" w:eastAsia="Calibri" w:hAnsi="Arial" w:cs="Arial"/>
          <w:kern w:val="0"/>
          <w14:ligatures w14:val="none"/>
        </w:rPr>
        <w:t>The Managing Entity shall submit supplemental invoices on or before the 20th of each month for services provided during the preceding month unless the Department approves a request for an alternative invoicing schedule in writing.</w:t>
      </w:r>
    </w:p>
    <w:p w14:paraId="23163AB3" w14:textId="77777777" w:rsidR="00696ACC" w:rsidRPr="00696ACC" w:rsidRDefault="00696ACC" w:rsidP="002B5A9F">
      <w:pPr>
        <w:keepNext/>
        <w:numPr>
          <w:ilvl w:val="1"/>
          <w:numId w:val="40"/>
        </w:numPr>
        <w:spacing w:before="60" w:after="60" w:line="240" w:lineRule="auto"/>
        <w:ind w:left="0" w:firstLine="0"/>
        <w:outlineLvl w:val="0"/>
        <w:rPr>
          <w:rFonts w:ascii="Arial" w:eastAsia="Calibri" w:hAnsi="Arial" w:cs="Arial"/>
          <w:b/>
          <w:kern w:val="0"/>
          <w14:ligatures w14:val="none"/>
        </w:rPr>
      </w:pPr>
      <w:r w:rsidRPr="00696ACC">
        <w:rPr>
          <w:rFonts w:ascii="Arial" w:eastAsia="Calibri" w:hAnsi="Arial" w:cs="Arial"/>
          <w:b/>
          <w:kern w:val="0"/>
          <w14:ligatures w14:val="none"/>
        </w:rPr>
        <w:t xml:space="preserve">Supplemental Financial Reconciliations </w:t>
      </w:r>
    </w:p>
    <w:p w14:paraId="26D69B5A" w14:textId="77777777" w:rsidR="00696ACC" w:rsidRPr="00696ACC" w:rsidRDefault="00696ACC" w:rsidP="002B5A9F">
      <w:pPr>
        <w:spacing w:before="60" w:after="60" w:line="240" w:lineRule="auto"/>
        <w:outlineLvl w:val="0"/>
        <w:rPr>
          <w:rFonts w:ascii="Arial" w:eastAsia="Arial Narrow" w:hAnsi="Arial" w:cs="Arial"/>
          <w:kern w:val="0"/>
          <w14:ligatures w14:val="none"/>
        </w:rPr>
      </w:pPr>
      <w:r w:rsidRPr="00696ACC">
        <w:rPr>
          <w:rFonts w:ascii="Arial" w:eastAsia="Arial Narrow" w:hAnsi="Arial" w:cs="Arial"/>
          <w:kern w:val="0"/>
          <w14:ligatures w14:val="none"/>
        </w:rPr>
        <w:t xml:space="preserve">The terms of </w:t>
      </w:r>
      <w:r w:rsidRPr="00696ACC">
        <w:rPr>
          <w:rFonts w:ascii="Arial" w:eastAsia="Arial Narrow" w:hAnsi="Arial" w:cs="Arial"/>
          <w:b/>
          <w:kern w:val="0"/>
          <w14:ligatures w14:val="none"/>
        </w:rPr>
        <w:t>Section F.7</w:t>
      </w:r>
      <w:r w:rsidRPr="00696ACC">
        <w:rPr>
          <w:rFonts w:ascii="Arial" w:eastAsia="Arial Narrow" w:hAnsi="Arial" w:cs="Arial"/>
          <w:kern w:val="0"/>
          <w14:ligatures w14:val="none"/>
        </w:rPr>
        <w:t xml:space="preserve"> notwithstanding, the Managing Entity shall submit financial reports reflecting actual CCP service expenses of the Managing Entity and its Network Service Providers as scheduled by and using templates distributed by the Department’s Disaster Behavioral Health Coordinator. Actual CCP expenses may not include any Managing Entity allocated, administrative, overhead, or indirect expenses without express advance written authorization by the Department’s Disaster Behavioral Health Coordinator.</w:t>
      </w:r>
    </w:p>
    <w:p w14:paraId="121299A0" w14:textId="77777777" w:rsidR="00696ACC" w:rsidRPr="00696ACC" w:rsidRDefault="00696ACC" w:rsidP="00696ACC">
      <w:pPr>
        <w:spacing w:before="60" w:after="60" w:line="240" w:lineRule="auto"/>
        <w:rPr>
          <w:rFonts w:ascii="Arial" w:eastAsia="Arial Narrow" w:hAnsi="Arial" w:cs="Arial"/>
          <w:kern w:val="0"/>
          <w14:ligatures w14:val="none"/>
        </w:rPr>
      </w:pPr>
    </w:p>
    <w:p w14:paraId="6E9C3F00" w14:textId="77777777" w:rsidR="00696ACC" w:rsidRPr="00696ACC" w:rsidRDefault="00696ACC" w:rsidP="00696ACC">
      <w:pPr>
        <w:spacing w:before="60" w:after="60" w:line="240" w:lineRule="auto"/>
        <w:rPr>
          <w:rFonts w:ascii="Arial" w:eastAsia="Arial Narrow" w:hAnsi="Arial" w:cs="Arial"/>
          <w:kern w:val="0"/>
          <w14:ligatures w14:val="none"/>
        </w:rPr>
      </w:pPr>
    </w:p>
    <w:p w14:paraId="7B29E5D2" w14:textId="77777777" w:rsidR="00696ACC" w:rsidRPr="00696ACC" w:rsidRDefault="00696ACC" w:rsidP="00696ACC">
      <w:pPr>
        <w:spacing w:before="60" w:after="60" w:line="240" w:lineRule="auto"/>
        <w:rPr>
          <w:rFonts w:ascii="Arial" w:eastAsia="Arial Narrow" w:hAnsi="Arial" w:cs="Arial"/>
          <w:kern w:val="0"/>
          <w14:ligatures w14:val="none"/>
        </w:rPr>
      </w:pPr>
    </w:p>
    <w:p w14:paraId="1162AF30" w14:textId="77777777" w:rsidR="00696ACC" w:rsidRPr="00696ACC" w:rsidRDefault="00696ACC" w:rsidP="00696ACC">
      <w:pPr>
        <w:spacing w:before="60" w:after="60" w:line="240" w:lineRule="auto"/>
        <w:rPr>
          <w:rFonts w:ascii="Arial" w:eastAsia="Arial Narrow" w:hAnsi="Arial" w:cs="Arial"/>
          <w:kern w:val="0"/>
          <w14:ligatures w14:val="none"/>
        </w:rPr>
      </w:pPr>
    </w:p>
    <w:p w14:paraId="11E78EB2" w14:textId="77777777" w:rsidR="00696ACC" w:rsidRPr="00696ACC" w:rsidRDefault="00696ACC" w:rsidP="00696ACC">
      <w:pPr>
        <w:spacing w:before="60" w:after="60" w:line="240" w:lineRule="auto"/>
        <w:rPr>
          <w:rFonts w:ascii="Arial" w:eastAsia="Arial Narrow" w:hAnsi="Arial" w:cs="Arial"/>
          <w:kern w:val="0"/>
          <w14:ligatures w14:val="none"/>
        </w:rPr>
      </w:pPr>
    </w:p>
    <w:p w14:paraId="7B59F65C" w14:textId="77777777" w:rsidR="00696ACC" w:rsidRPr="00696ACC" w:rsidRDefault="00696ACC" w:rsidP="00696ACC">
      <w:pPr>
        <w:spacing w:before="60" w:after="60" w:line="240" w:lineRule="auto"/>
        <w:jc w:val="center"/>
        <w:rPr>
          <w:rFonts w:ascii="Arial" w:eastAsia="Arial Narrow" w:hAnsi="Arial" w:cs="Arial"/>
          <w:kern w:val="0"/>
          <w14:ligatures w14:val="none"/>
        </w:rPr>
      </w:pPr>
      <w:r w:rsidRPr="00696ACC">
        <w:rPr>
          <w:rFonts w:ascii="Arial" w:eastAsia="Arial Narrow" w:hAnsi="Arial" w:cs="Arial"/>
          <w:b/>
          <w:bCs/>
          <w:kern w:val="0"/>
          <w14:ligatures w14:val="none"/>
        </w:rPr>
        <w:t>REMAINDER OF PAGE INTENTIONALLY LEFT BLANK</w:t>
      </w:r>
    </w:p>
    <w:p w14:paraId="68012E6A" w14:textId="77777777" w:rsidR="009956AB" w:rsidRDefault="009956AB"/>
    <w:sectPr w:rsidR="0099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E8E"/>
    <w:multiLevelType w:val="multilevel"/>
    <w:tmpl w:val="7D3CD768"/>
    <w:lvl w:ilvl="0">
      <w:start w:val="1"/>
      <w:numFmt w:val="decimal"/>
      <w:lvlText w:val="F.%1"/>
      <w:lvlJc w:val="left"/>
      <w:pPr>
        <w:tabs>
          <w:tab w:val="num" w:pos="554"/>
        </w:tabs>
        <w:ind w:left="540" w:hanging="540"/>
      </w:pPr>
      <w:rPr>
        <w:rFonts w:ascii="Arial" w:hAnsi="Arial" w:hint="default"/>
        <w:b/>
        <w:i w:val="0"/>
        <w:sz w:val="22"/>
      </w:rPr>
    </w:lvl>
    <w:lvl w:ilvl="1">
      <w:start w:val="1"/>
      <w:numFmt w:val="upperLetter"/>
      <w:lvlText w:val="%2-1.1"/>
      <w:lvlJc w:val="left"/>
      <w:pPr>
        <w:tabs>
          <w:tab w:val="num" w:pos="720"/>
        </w:tabs>
        <w:ind w:left="720" w:hanging="720"/>
      </w:pPr>
      <w:rPr>
        <w:b/>
        <w:i w:val="0"/>
        <w:sz w:val="22"/>
      </w:rPr>
    </w:lvl>
    <w:lvl w:ilvl="2">
      <w:start w:val="1"/>
      <w:numFmt w:val="decimal"/>
      <w:lvlText w:val="F.%1.%2.%3"/>
      <w:lvlJc w:val="left"/>
      <w:pPr>
        <w:tabs>
          <w:tab w:val="num" w:pos="1080"/>
        </w:tabs>
        <w:ind w:left="1080" w:hanging="1080"/>
      </w:pPr>
      <w:rPr>
        <w:rFonts w:ascii="Arial" w:hAnsi="Arial" w:hint="default"/>
        <w:b/>
        <w:i w:val="0"/>
        <w:sz w:val="22"/>
      </w:rPr>
    </w:lvl>
    <w:lvl w:ilvl="3">
      <w:start w:val="1"/>
      <w:numFmt w:val="decimal"/>
      <w:lvlText w:val="F.%1.%2.%3.%4"/>
      <w:lvlJc w:val="left"/>
      <w:pPr>
        <w:tabs>
          <w:tab w:val="num" w:pos="1440"/>
        </w:tabs>
        <w:ind w:left="1440" w:hanging="1080"/>
      </w:pPr>
      <w:rPr>
        <w:rFonts w:ascii="Arial" w:hAnsi="Arial" w:hint="default"/>
        <w:b/>
        <w:i w:val="0"/>
        <w:sz w:val="22"/>
      </w:rPr>
    </w:lvl>
    <w:lvl w:ilvl="4">
      <w:start w:val="1"/>
      <w:numFmt w:val="decimal"/>
      <w:lvlText w:val="F.%1.%2.%3.%4.%5"/>
      <w:lvlJc w:val="left"/>
      <w:pPr>
        <w:tabs>
          <w:tab w:val="num" w:pos="2160"/>
        </w:tabs>
        <w:ind w:left="2160" w:hanging="1440"/>
      </w:pPr>
      <w:rPr>
        <w:rFonts w:ascii="Arial" w:hAnsi="Arial" w:hint="default"/>
        <w:b/>
        <w:i w:val="0"/>
        <w:sz w:val="22"/>
      </w:rPr>
    </w:lvl>
    <w:lvl w:ilvl="5">
      <w:start w:val="1"/>
      <w:numFmt w:val="decimal"/>
      <w:lvlText w:val="F.%1.%2.%3.%4.%5.%6"/>
      <w:lvlJc w:val="left"/>
      <w:pPr>
        <w:tabs>
          <w:tab w:val="num" w:pos="2880"/>
        </w:tabs>
        <w:ind w:left="2880" w:hanging="1800"/>
      </w:pPr>
      <w:rPr>
        <w:rFonts w:ascii="Arial" w:hAnsi="Arial" w:hint="default"/>
        <w:b/>
        <w:i w:val="0"/>
        <w:sz w:val="22"/>
      </w:rPr>
    </w:lvl>
    <w:lvl w:ilvl="6">
      <w:start w:val="1"/>
      <w:numFmt w:val="decimal"/>
      <w:lvlText w:val="F.%1.%2.%3.%4.%5.%6.%7"/>
      <w:lvlJc w:val="left"/>
      <w:pPr>
        <w:tabs>
          <w:tab w:val="num" w:pos="3600"/>
        </w:tabs>
        <w:ind w:left="3600" w:hanging="2160"/>
      </w:pPr>
      <w:rPr>
        <w:rFonts w:ascii="Arial" w:hAnsi="Arial" w:hint="default"/>
        <w:b/>
        <w:i w:val="0"/>
        <w:sz w:val="22"/>
      </w:rPr>
    </w:lvl>
    <w:lvl w:ilvl="7">
      <w:start w:val="1"/>
      <w:numFmt w:val="decimal"/>
      <w:lvlText w:val="F.%1.%2.%3.%4.%5.%6.%7.%8"/>
      <w:lvlJc w:val="left"/>
      <w:pPr>
        <w:ind w:left="1800" w:firstLine="0"/>
      </w:pPr>
      <w:rPr>
        <w:rFonts w:ascii="Arial" w:hAnsi="Arial" w:hint="default"/>
        <w:b/>
        <w:i w:val="0"/>
        <w:sz w:val="22"/>
      </w:rPr>
    </w:lvl>
    <w:lvl w:ilvl="8">
      <w:start w:val="1"/>
      <w:numFmt w:val="decimal"/>
      <w:lvlText w:val="F.%1.%2.%3.%4.%5.%6.%7.%8.%9"/>
      <w:lvlJc w:val="left"/>
      <w:pPr>
        <w:ind w:left="2160" w:firstLine="0"/>
      </w:pPr>
      <w:rPr>
        <w:rFonts w:ascii="Arial" w:hAnsi="Arial" w:hint="default"/>
        <w:b/>
        <w:i w:val="0"/>
        <w:sz w:val="22"/>
      </w:rPr>
    </w:lvl>
  </w:abstractNum>
  <w:abstractNum w:abstractNumId="1" w15:restartNumberingAfterBreak="0">
    <w:nsid w:val="17303377"/>
    <w:multiLevelType w:val="multilevel"/>
    <w:tmpl w:val="59E4E4F8"/>
    <w:lvl w:ilvl="0">
      <w:start w:val="1"/>
      <w:numFmt w:val="decimal"/>
      <w:lvlText w:val="F.%1"/>
      <w:lvlJc w:val="left"/>
      <w:pPr>
        <w:tabs>
          <w:tab w:val="num" w:pos="554"/>
        </w:tabs>
        <w:ind w:left="540" w:hanging="540"/>
      </w:pPr>
      <w:rPr>
        <w:rFonts w:ascii="Arial" w:hAnsi="Arial" w:hint="default"/>
        <w:b/>
        <w:i w:val="0"/>
        <w:sz w:val="22"/>
      </w:rPr>
    </w:lvl>
    <w:lvl w:ilvl="1">
      <w:start w:val="6"/>
      <w:numFmt w:val="upperLetter"/>
      <w:lvlText w:val="%2-1.1"/>
      <w:lvlJc w:val="left"/>
      <w:pPr>
        <w:tabs>
          <w:tab w:val="num" w:pos="720"/>
        </w:tabs>
        <w:ind w:left="720" w:hanging="720"/>
      </w:pPr>
      <w:rPr>
        <w:rFonts w:hint="default"/>
        <w:b/>
        <w:i w:val="0"/>
        <w:sz w:val="22"/>
      </w:rPr>
    </w:lvl>
    <w:lvl w:ilvl="2">
      <w:start w:val="1"/>
      <w:numFmt w:val="decimal"/>
      <w:lvlText w:val="F.%1.%2.%3"/>
      <w:lvlJc w:val="left"/>
      <w:pPr>
        <w:tabs>
          <w:tab w:val="num" w:pos="1080"/>
        </w:tabs>
        <w:ind w:left="1080" w:hanging="1080"/>
      </w:pPr>
      <w:rPr>
        <w:rFonts w:ascii="Arial" w:hAnsi="Arial" w:hint="default"/>
        <w:b/>
        <w:i w:val="0"/>
        <w:sz w:val="22"/>
      </w:rPr>
    </w:lvl>
    <w:lvl w:ilvl="3">
      <w:start w:val="1"/>
      <w:numFmt w:val="decimal"/>
      <w:lvlText w:val="F.%1.%2.%3.%4"/>
      <w:lvlJc w:val="left"/>
      <w:pPr>
        <w:tabs>
          <w:tab w:val="num" w:pos="1440"/>
        </w:tabs>
        <w:ind w:left="1440" w:hanging="1080"/>
      </w:pPr>
      <w:rPr>
        <w:rFonts w:ascii="Arial" w:hAnsi="Arial" w:hint="default"/>
        <w:b/>
        <w:i w:val="0"/>
        <w:sz w:val="22"/>
      </w:rPr>
    </w:lvl>
    <w:lvl w:ilvl="4">
      <w:start w:val="1"/>
      <w:numFmt w:val="decimal"/>
      <w:lvlText w:val="F.%1.%2.%3.%4.%5"/>
      <w:lvlJc w:val="left"/>
      <w:pPr>
        <w:tabs>
          <w:tab w:val="num" w:pos="2160"/>
        </w:tabs>
        <w:ind w:left="2160" w:hanging="1440"/>
      </w:pPr>
      <w:rPr>
        <w:rFonts w:ascii="Arial" w:hAnsi="Arial" w:hint="default"/>
        <w:b/>
        <w:i w:val="0"/>
        <w:sz w:val="22"/>
      </w:rPr>
    </w:lvl>
    <w:lvl w:ilvl="5">
      <w:start w:val="1"/>
      <w:numFmt w:val="decimal"/>
      <w:lvlText w:val="F.%1.%2.%3.%4.%5.%6"/>
      <w:lvlJc w:val="left"/>
      <w:pPr>
        <w:tabs>
          <w:tab w:val="num" w:pos="2880"/>
        </w:tabs>
        <w:ind w:left="2880" w:hanging="1800"/>
      </w:pPr>
      <w:rPr>
        <w:rFonts w:ascii="Arial" w:hAnsi="Arial" w:hint="default"/>
        <w:b/>
        <w:i w:val="0"/>
        <w:sz w:val="22"/>
      </w:rPr>
    </w:lvl>
    <w:lvl w:ilvl="6">
      <w:start w:val="1"/>
      <w:numFmt w:val="decimal"/>
      <w:lvlText w:val="F.%1.%2.%3.%4.%5.%6.%7"/>
      <w:lvlJc w:val="left"/>
      <w:pPr>
        <w:tabs>
          <w:tab w:val="num" w:pos="3600"/>
        </w:tabs>
        <w:ind w:left="3600" w:hanging="2160"/>
      </w:pPr>
      <w:rPr>
        <w:rFonts w:ascii="Arial" w:hAnsi="Arial" w:hint="default"/>
        <w:b/>
        <w:i w:val="0"/>
        <w:sz w:val="22"/>
      </w:rPr>
    </w:lvl>
    <w:lvl w:ilvl="7">
      <w:start w:val="1"/>
      <w:numFmt w:val="decimal"/>
      <w:lvlText w:val="F.%1.%2.%3.%4.%5.%6.%7.%8"/>
      <w:lvlJc w:val="left"/>
      <w:pPr>
        <w:ind w:left="1800" w:firstLine="0"/>
      </w:pPr>
      <w:rPr>
        <w:rFonts w:ascii="Arial" w:hAnsi="Arial" w:hint="default"/>
        <w:b/>
        <w:i w:val="0"/>
        <w:sz w:val="22"/>
      </w:rPr>
    </w:lvl>
    <w:lvl w:ilvl="8">
      <w:start w:val="1"/>
      <w:numFmt w:val="decimal"/>
      <w:lvlText w:val="F.%1.%2.%3.%4.%5.%6.%7.%8.%9"/>
      <w:lvlJc w:val="left"/>
      <w:pPr>
        <w:ind w:left="2160" w:firstLine="0"/>
      </w:pPr>
      <w:rPr>
        <w:rFonts w:ascii="Arial" w:hAnsi="Arial" w:hint="default"/>
        <w:b/>
        <w:i w:val="0"/>
        <w:sz w:val="22"/>
      </w:rPr>
    </w:lvl>
  </w:abstractNum>
  <w:abstractNum w:abstractNumId="2" w15:restartNumberingAfterBreak="0">
    <w:nsid w:val="518058F6"/>
    <w:multiLevelType w:val="multilevel"/>
    <w:tmpl w:val="CB98021E"/>
    <w:lvl w:ilvl="0">
      <w:start w:val="1"/>
      <w:numFmt w:val="decimal"/>
      <w:lvlText w:val="F.%1"/>
      <w:lvlJc w:val="left"/>
      <w:pPr>
        <w:tabs>
          <w:tab w:val="num" w:pos="554"/>
        </w:tabs>
        <w:ind w:left="540" w:hanging="540"/>
      </w:pPr>
      <w:rPr>
        <w:rFonts w:ascii="Arial" w:hAnsi="Arial" w:hint="default"/>
        <w:b/>
        <w:i w:val="0"/>
        <w:sz w:val="22"/>
      </w:rPr>
    </w:lvl>
    <w:lvl w:ilvl="1">
      <w:start w:val="6"/>
      <w:numFmt w:val="none"/>
      <w:lvlText w:val="F.1.2"/>
      <w:lvlJc w:val="left"/>
      <w:pPr>
        <w:tabs>
          <w:tab w:val="num" w:pos="720"/>
        </w:tabs>
        <w:ind w:left="720" w:hanging="720"/>
      </w:pPr>
      <w:rPr>
        <w:rFonts w:hint="default"/>
        <w:b/>
        <w:i w:val="0"/>
        <w:sz w:val="22"/>
      </w:rPr>
    </w:lvl>
    <w:lvl w:ilvl="2">
      <w:start w:val="1"/>
      <w:numFmt w:val="decimal"/>
      <w:lvlText w:val="F.%1.1%2.%3"/>
      <w:lvlJc w:val="left"/>
      <w:pPr>
        <w:tabs>
          <w:tab w:val="num" w:pos="1080"/>
        </w:tabs>
        <w:ind w:left="1080" w:hanging="1080"/>
      </w:pPr>
      <w:rPr>
        <w:rFonts w:ascii="Arial" w:hAnsi="Arial" w:hint="default"/>
        <w:b/>
        <w:i w:val="0"/>
        <w:sz w:val="22"/>
      </w:rPr>
    </w:lvl>
    <w:lvl w:ilvl="3">
      <w:start w:val="1"/>
      <w:numFmt w:val="decimal"/>
      <w:lvlText w:val="F.%1.%2.%3.%4"/>
      <w:lvlJc w:val="left"/>
      <w:pPr>
        <w:tabs>
          <w:tab w:val="num" w:pos="1440"/>
        </w:tabs>
        <w:ind w:left="1440" w:hanging="1080"/>
      </w:pPr>
      <w:rPr>
        <w:rFonts w:ascii="Arial" w:hAnsi="Arial" w:hint="default"/>
        <w:b/>
        <w:i w:val="0"/>
        <w:sz w:val="22"/>
      </w:rPr>
    </w:lvl>
    <w:lvl w:ilvl="4">
      <w:start w:val="1"/>
      <w:numFmt w:val="decimal"/>
      <w:lvlText w:val="F.%1.%2.%3.%4.%5"/>
      <w:lvlJc w:val="left"/>
      <w:pPr>
        <w:tabs>
          <w:tab w:val="num" w:pos="2160"/>
        </w:tabs>
        <w:ind w:left="2160" w:hanging="1440"/>
      </w:pPr>
      <w:rPr>
        <w:rFonts w:ascii="Arial" w:hAnsi="Arial" w:hint="default"/>
        <w:b/>
        <w:i w:val="0"/>
        <w:sz w:val="22"/>
      </w:rPr>
    </w:lvl>
    <w:lvl w:ilvl="5">
      <w:start w:val="1"/>
      <w:numFmt w:val="decimal"/>
      <w:lvlText w:val="F.%1.%2.%3.%4.%5.%6"/>
      <w:lvlJc w:val="left"/>
      <w:pPr>
        <w:tabs>
          <w:tab w:val="num" w:pos="2880"/>
        </w:tabs>
        <w:ind w:left="2880" w:hanging="1800"/>
      </w:pPr>
      <w:rPr>
        <w:rFonts w:ascii="Arial" w:hAnsi="Arial" w:hint="default"/>
        <w:b/>
        <w:i w:val="0"/>
        <w:sz w:val="22"/>
      </w:rPr>
    </w:lvl>
    <w:lvl w:ilvl="6">
      <w:start w:val="1"/>
      <w:numFmt w:val="decimal"/>
      <w:lvlText w:val="F.%1.%2.%3.%4.%5.%6.%7"/>
      <w:lvlJc w:val="left"/>
      <w:pPr>
        <w:tabs>
          <w:tab w:val="num" w:pos="3600"/>
        </w:tabs>
        <w:ind w:left="3600" w:hanging="2160"/>
      </w:pPr>
      <w:rPr>
        <w:rFonts w:ascii="Arial" w:hAnsi="Arial" w:hint="default"/>
        <w:b/>
        <w:i w:val="0"/>
        <w:sz w:val="22"/>
      </w:rPr>
    </w:lvl>
    <w:lvl w:ilvl="7">
      <w:start w:val="1"/>
      <w:numFmt w:val="decimal"/>
      <w:lvlText w:val="F.%1.%2.%3.%4.%5.%6.%7.%8"/>
      <w:lvlJc w:val="left"/>
      <w:pPr>
        <w:ind w:left="1800" w:firstLine="0"/>
      </w:pPr>
      <w:rPr>
        <w:rFonts w:ascii="Arial" w:hAnsi="Arial" w:hint="default"/>
        <w:b/>
        <w:i w:val="0"/>
        <w:sz w:val="22"/>
      </w:rPr>
    </w:lvl>
    <w:lvl w:ilvl="8">
      <w:start w:val="1"/>
      <w:numFmt w:val="decimal"/>
      <w:lvlText w:val="F.%1.%2.%3.%4.%5.%6.%7.%8.%9"/>
      <w:lvlJc w:val="left"/>
      <w:pPr>
        <w:ind w:left="2160" w:firstLine="0"/>
      </w:pPr>
      <w:rPr>
        <w:rFonts w:ascii="Arial" w:hAnsi="Arial" w:hint="default"/>
        <w:b/>
        <w:i w:val="0"/>
        <w:sz w:val="22"/>
      </w:rPr>
    </w:lvl>
  </w:abstractNum>
  <w:num w:numId="1" w16cid:durableId="1921133998">
    <w:abstractNumId w:val="0"/>
  </w:num>
  <w:num w:numId="2" w16cid:durableId="1412242677">
    <w:abstractNumId w:val="1"/>
  </w:num>
  <w:num w:numId="3" w16cid:durableId="1139298387">
    <w:abstractNumId w:val="2"/>
  </w:num>
  <w:num w:numId="4" w16cid:durableId="22133330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2.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5" w16cid:durableId="2000887519">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2.2"/>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6" w16cid:durableId="22198717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2.5"/>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7" w16cid:durableId="1781336394">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2.3"/>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8" w16cid:durableId="4408407">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2.4"/>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9" w16cid:durableId="2019697803">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3.1"/>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0" w16cid:durableId="682439781">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2.5"/>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1" w16cid:durableId="1164735359">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3.2"/>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2" w16cid:durableId="71665979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3.3"/>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3" w16cid:durableId="11762335">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3.4"/>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4" w16cid:durableId="1927230050">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3"/>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5" w16cid:durableId="1690524335">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6" w16cid:durableId="636491993">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2"/>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7" w16cid:durableId="942372916">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3"/>
        <w:lvlJc w:val="left"/>
        <w:pPr>
          <w:tabs>
            <w:tab w:val="num" w:pos="720"/>
          </w:tabs>
          <w:ind w:left="720" w:hanging="720"/>
        </w:pPr>
        <w:rPr>
          <w:rFonts w:hint="default"/>
          <w:b/>
          <w:i w:val="0"/>
          <w:sz w:val="22"/>
        </w:rPr>
      </w:lvl>
    </w:lvlOverride>
    <w:lvlOverride w:ilvl="2">
      <w:lvl w:ilvl="2">
        <w:start w:val="1"/>
        <w:numFmt w:val="decimal"/>
        <w:lvlText w:val="F.%1.3%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8" w16cid:durableId="355229921">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4"/>
        <w:lvlJc w:val="left"/>
        <w:pPr>
          <w:tabs>
            <w:tab w:val="num" w:pos="720"/>
          </w:tabs>
          <w:ind w:left="720" w:hanging="720"/>
        </w:pPr>
        <w:rPr>
          <w:rFonts w:hint="default"/>
          <w:b/>
          <w:i w:val="0"/>
          <w:sz w:val="22"/>
        </w:rPr>
      </w:lvl>
    </w:lvlOverride>
    <w:lvlOverride w:ilvl="2">
      <w:lvl w:ilvl="2">
        <w:start w:val="1"/>
        <w:numFmt w:val="decimal"/>
        <w:lvlText w:val="F.%1.3%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19" w16cid:durableId="1011831524">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5.1"/>
        <w:lvlJc w:val="left"/>
        <w:pPr>
          <w:tabs>
            <w:tab w:val="num" w:pos="720"/>
          </w:tabs>
          <w:ind w:left="720" w:hanging="720"/>
        </w:pPr>
        <w:rPr>
          <w:rFonts w:hint="default"/>
          <w:b/>
          <w:i w:val="0"/>
          <w:sz w:val="22"/>
        </w:rPr>
      </w:lvl>
    </w:lvlOverride>
    <w:lvlOverride w:ilvl="2">
      <w:lvl w:ilvl="2">
        <w:start w:val="1"/>
        <w:numFmt w:val="decimal"/>
        <w:lvlText w:val="F.%1.3%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0" w16cid:durableId="1659262667">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3"/>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1" w16cid:durableId="1076980820">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5.2"/>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2" w16cid:durableId="654146546">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5.3"/>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3" w16cid:durableId="340083595">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4" w16cid:durableId="921111400">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2"/>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5" w16cid:durableId="119153082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3"/>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6" w16cid:durableId="138879539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4"/>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7" w16cid:durableId="116046489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5"/>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8" w16cid:durableId="2017614172">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7.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29" w16cid:durableId="445320190">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7.2"/>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0" w16cid:durableId="909510436">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1" w16cid:durableId="381255004">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2" w16cid:durableId="81100725">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7.3"/>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3" w16cid:durableId="204486601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8.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4" w16cid:durableId="1027563785">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5" w16cid:durableId="112482056">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8.2"/>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6" w16cid:durableId="232619241">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7" w16cid:durableId="226843516">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8.3"/>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8" w16cid:durableId="902835263">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3%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39" w16cid:durableId="108969808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3%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40" w16cid:durableId="1646929914">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8.4"/>
        <w:lvlJc w:val="left"/>
        <w:pPr>
          <w:tabs>
            <w:tab w:val="num" w:pos="720"/>
          </w:tabs>
          <w:ind w:left="720" w:hanging="720"/>
        </w:pPr>
        <w:rPr>
          <w:rFonts w:hint="default"/>
          <w:b/>
          <w:i w:val="0"/>
          <w:sz w:val="22"/>
        </w:rPr>
      </w:lvl>
    </w:lvlOverride>
    <w:lvlOverride w:ilvl="2">
      <w:lvl w:ilvl="2">
        <w:start w:val="1"/>
        <w:numFmt w:val="decimal"/>
        <w:lvlText w:val="F.%1.2%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41" w16cid:durableId="1802918852">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3"/>
        <w:lvlJc w:val="left"/>
        <w:pPr>
          <w:tabs>
            <w:tab w:val="num" w:pos="720"/>
          </w:tabs>
          <w:ind w:left="720" w:hanging="720"/>
        </w:pPr>
        <w:rPr>
          <w:rFonts w:hint="default"/>
          <w:b/>
          <w:i w:val="0"/>
          <w:sz w:val="22"/>
        </w:rPr>
      </w:lvl>
    </w:lvlOverride>
    <w:lvlOverride w:ilvl="2">
      <w:lvl w:ilvl="2">
        <w:start w:val="1"/>
        <w:numFmt w:val="decimal"/>
        <w:lvlText w:val="F.%1.3%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42" w16cid:durableId="1879779068">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4.3"/>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43" w16cid:durableId="159124689">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44" w16cid:durableId="1928491746">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 w:numId="45" w16cid:durableId="1384061286">
    <w:abstractNumId w:val="2"/>
    <w:lvlOverride w:ilvl="0">
      <w:lvl w:ilvl="0">
        <w:start w:val="1"/>
        <w:numFmt w:val="decimal"/>
        <w:lvlText w:val="F.%1"/>
        <w:lvlJc w:val="left"/>
        <w:pPr>
          <w:tabs>
            <w:tab w:val="num" w:pos="554"/>
          </w:tabs>
          <w:ind w:left="540" w:hanging="540"/>
        </w:pPr>
        <w:rPr>
          <w:rFonts w:ascii="Arial" w:hAnsi="Arial" w:hint="default"/>
          <w:b/>
          <w:i w:val="0"/>
          <w:sz w:val="22"/>
        </w:rPr>
      </w:lvl>
    </w:lvlOverride>
    <w:lvlOverride w:ilvl="1">
      <w:lvl w:ilvl="1">
        <w:start w:val="6"/>
        <w:numFmt w:val="none"/>
        <w:lvlText w:val="F.6.1"/>
        <w:lvlJc w:val="left"/>
        <w:pPr>
          <w:tabs>
            <w:tab w:val="num" w:pos="720"/>
          </w:tabs>
          <w:ind w:left="720" w:hanging="720"/>
        </w:pPr>
        <w:rPr>
          <w:rFonts w:hint="default"/>
          <w:b/>
          <w:i w:val="0"/>
          <w:sz w:val="22"/>
        </w:rPr>
      </w:lvl>
    </w:lvlOverride>
    <w:lvlOverride w:ilvl="2">
      <w:lvl w:ilvl="2">
        <w:start w:val="1"/>
        <w:numFmt w:val="decimal"/>
        <w:lvlText w:val="F.%1.1%2.%3"/>
        <w:lvlJc w:val="left"/>
        <w:pPr>
          <w:tabs>
            <w:tab w:val="num" w:pos="1080"/>
          </w:tabs>
          <w:ind w:left="1080" w:hanging="1080"/>
        </w:pPr>
        <w:rPr>
          <w:rFonts w:ascii="Arial" w:hAnsi="Arial" w:hint="default"/>
          <w:b/>
          <w:i w:val="0"/>
          <w:sz w:val="22"/>
        </w:rPr>
      </w:lvl>
    </w:lvlOverride>
    <w:lvlOverride w:ilvl="3">
      <w:lvl w:ilvl="3">
        <w:start w:val="1"/>
        <w:numFmt w:val="decimal"/>
        <w:lvlText w:val="F.%1.1%2.%3.%4"/>
        <w:lvlJc w:val="left"/>
        <w:pPr>
          <w:tabs>
            <w:tab w:val="num" w:pos="1440"/>
          </w:tabs>
          <w:ind w:left="1440" w:hanging="1080"/>
        </w:pPr>
        <w:rPr>
          <w:rFonts w:ascii="Arial" w:hAnsi="Arial" w:hint="default"/>
          <w:b/>
          <w:i w:val="0"/>
          <w:sz w:val="22"/>
        </w:rPr>
      </w:lvl>
    </w:lvlOverride>
    <w:lvlOverride w:ilvl="4">
      <w:lvl w:ilvl="4">
        <w:start w:val="1"/>
        <w:numFmt w:val="decimal"/>
        <w:lvlText w:val="F.%1.%2.%3.%4.%5"/>
        <w:lvlJc w:val="left"/>
        <w:pPr>
          <w:tabs>
            <w:tab w:val="num" w:pos="2160"/>
          </w:tabs>
          <w:ind w:left="2160" w:hanging="1440"/>
        </w:pPr>
        <w:rPr>
          <w:rFonts w:ascii="Arial" w:hAnsi="Arial" w:hint="default"/>
          <w:b/>
          <w:i w:val="0"/>
          <w:sz w:val="22"/>
        </w:rPr>
      </w:lvl>
    </w:lvlOverride>
    <w:lvlOverride w:ilvl="5">
      <w:lvl w:ilvl="5">
        <w:start w:val="1"/>
        <w:numFmt w:val="decimal"/>
        <w:lvlText w:val="F.%1.%2.%3.%4.%5.%6"/>
        <w:lvlJc w:val="left"/>
        <w:pPr>
          <w:tabs>
            <w:tab w:val="num" w:pos="2880"/>
          </w:tabs>
          <w:ind w:left="2880" w:hanging="1800"/>
        </w:pPr>
        <w:rPr>
          <w:rFonts w:ascii="Arial" w:hAnsi="Arial" w:hint="default"/>
          <w:b/>
          <w:i w:val="0"/>
          <w:sz w:val="22"/>
        </w:rPr>
      </w:lvl>
    </w:lvlOverride>
    <w:lvlOverride w:ilvl="6">
      <w:lvl w:ilvl="6">
        <w:start w:val="1"/>
        <w:numFmt w:val="decimal"/>
        <w:lvlText w:val="F.%1.%2.%3.%4.%5.%6.%7"/>
        <w:lvlJc w:val="left"/>
        <w:pPr>
          <w:tabs>
            <w:tab w:val="num" w:pos="3600"/>
          </w:tabs>
          <w:ind w:left="3600" w:hanging="2160"/>
        </w:pPr>
        <w:rPr>
          <w:rFonts w:ascii="Arial" w:hAnsi="Arial" w:hint="default"/>
          <w:b/>
          <w:i w:val="0"/>
          <w:sz w:val="22"/>
        </w:rPr>
      </w:lvl>
    </w:lvlOverride>
    <w:lvlOverride w:ilvl="7">
      <w:lvl w:ilvl="7">
        <w:start w:val="1"/>
        <w:numFmt w:val="decimal"/>
        <w:lvlText w:val="F.%1.%2.%3.%4.%5.%6.%7.%8"/>
        <w:lvlJc w:val="left"/>
        <w:pPr>
          <w:ind w:left="1800" w:firstLine="0"/>
        </w:pPr>
        <w:rPr>
          <w:rFonts w:ascii="Arial" w:hAnsi="Arial" w:hint="default"/>
          <w:b/>
          <w:i w:val="0"/>
          <w:sz w:val="22"/>
        </w:rPr>
      </w:lvl>
    </w:lvlOverride>
    <w:lvlOverride w:ilvl="8">
      <w:lvl w:ilvl="8">
        <w:start w:val="1"/>
        <w:numFmt w:val="decimal"/>
        <w:lvlText w:val="F.%1.%2.%3.%4.%5.%6.%7.%8.%9"/>
        <w:lvlJc w:val="left"/>
        <w:pPr>
          <w:ind w:left="2160" w:firstLine="0"/>
        </w:pPr>
        <w:rPr>
          <w:rFonts w:ascii="Arial" w:hAnsi="Arial"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C"/>
    <w:rsid w:val="002233EE"/>
    <w:rsid w:val="002B5A9F"/>
    <w:rsid w:val="004F10DF"/>
    <w:rsid w:val="004F5DE8"/>
    <w:rsid w:val="00696ACC"/>
    <w:rsid w:val="006C5B5F"/>
    <w:rsid w:val="0099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E921"/>
  <w15:chartTrackingRefBased/>
  <w15:docId w15:val="{94D0EDC5-738A-4057-B097-A38014D9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ACC"/>
    <w:rPr>
      <w:rFonts w:eastAsiaTheme="majorEastAsia" w:cstheme="majorBidi"/>
      <w:color w:val="272727" w:themeColor="text1" w:themeTint="D8"/>
    </w:rPr>
  </w:style>
  <w:style w:type="paragraph" w:styleId="Title">
    <w:name w:val="Title"/>
    <w:basedOn w:val="Normal"/>
    <w:next w:val="Normal"/>
    <w:link w:val="TitleChar"/>
    <w:uiPriority w:val="10"/>
    <w:qFormat/>
    <w:rsid w:val="00696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ACC"/>
    <w:pPr>
      <w:spacing w:before="160"/>
      <w:jc w:val="center"/>
    </w:pPr>
    <w:rPr>
      <w:i/>
      <w:iCs/>
      <w:color w:val="404040" w:themeColor="text1" w:themeTint="BF"/>
    </w:rPr>
  </w:style>
  <w:style w:type="character" w:customStyle="1" w:styleId="QuoteChar">
    <w:name w:val="Quote Char"/>
    <w:basedOn w:val="DefaultParagraphFont"/>
    <w:link w:val="Quote"/>
    <w:uiPriority w:val="29"/>
    <w:rsid w:val="00696ACC"/>
    <w:rPr>
      <w:i/>
      <w:iCs/>
      <w:color w:val="404040" w:themeColor="text1" w:themeTint="BF"/>
    </w:rPr>
  </w:style>
  <w:style w:type="paragraph" w:styleId="ListParagraph">
    <w:name w:val="List Paragraph"/>
    <w:basedOn w:val="Normal"/>
    <w:uiPriority w:val="34"/>
    <w:qFormat/>
    <w:rsid w:val="00696ACC"/>
    <w:pPr>
      <w:ind w:left="720"/>
      <w:contextualSpacing/>
    </w:pPr>
  </w:style>
  <w:style w:type="character" w:styleId="IntenseEmphasis">
    <w:name w:val="Intense Emphasis"/>
    <w:basedOn w:val="DefaultParagraphFont"/>
    <w:uiPriority w:val="21"/>
    <w:qFormat/>
    <w:rsid w:val="00696ACC"/>
    <w:rPr>
      <w:i/>
      <w:iCs/>
      <w:color w:val="0F4761" w:themeColor="accent1" w:themeShade="BF"/>
    </w:rPr>
  </w:style>
  <w:style w:type="paragraph" w:styleId="IntenseQuote">
    <w:name w:val="Intense Quote"/>
    <w:basedOn w:val="Normal"/>
    <w:next w:val="Normal"/>
    <w:link w:val="IntenseQuoteChar"/>
    <w:uiPriority w:val="30"/>
    <w:qFormat/>
    <w:rsid w:val="00696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ACC"/>
    <w:rPr>
      <w:i/>
      <w:iCs/>
      <w:color w:val="0F4761" w:themeColor="accent1" w:themeShade="BF"/>
    </w:rPr>
  </w:style>
  <w:style w:type="character" w:styleId="IntenseReference">
    <w:name w:val="Intense Reference"/>
    <w:basedOn w:val="DefaultParagraphFont"/>
    <w:uiPriority w:val="32"/>
    <w:qFormat/>
    <w:rsid w:val="00696ACC"/>
    <w:rPr>
      <w:b/>
      <w:bCs/>
      <w:smallCaps/>
      <w:color w:val="0F4761" w:themeColor="accent1" w:themeShade="BF"/>
      <w:spacing w:val="5"/>
    </w:rPr>
  </w:style>
  <w:style w:type="table" w:styleId="TableGrid">
    <w:name w:val="Table Grid"/>
    <w:basedOn w:val="TableNormal"/>
    <w:uiPriority w:val="39"/>
    <w:rsid w:val="00696ACC"/>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m.gov/policy-data-oversight/pay-leave/salaries-wa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Christopher</dc:creator>
  <cp:keywords/>
  <dc:description/>
  <cp:lastModifiedBy>Morris, Christopher</cp:lastModifiedBy>
  <cp:revision>2</cp:revision>
  <dcterms:created xsi:type="dcterms:W3CDTF">2025-06-27T20:44:00Z</dcterms:created>
  <dcterms:modified xsi:type="dcterms:W3CDTF">2025-06-27T21:05:00Z</dcterms:modified>
</cp:coreProperties>
</file>