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num" w:pos="3150"/>
        </w:tabs>
        <w:ind w:left="2160"/>
        <w:rPr>
          <w:rFonts w:ascii="Arial Narrow" w:hAnsi="Arial Narrow"/>
        </w:rPr>
      </w:pPr>
      <w:r>
        <w:rPr>
          <w:rFonts w:ascii="Arial Narrow" w:hAnsi="Arial Narrow"/>
        </w:rPr>
        <w:t xml:space="preserve">Manages and allocates available funds in compliance with federal and state laws, </w:t>
      </w:r>
      <w:proofErr w:type="gramStart"/>
      <w:r>
        <w:rPr>
          <w:rFonts w:ascii="Arial Narrow" w:hAnsi="Arial Narrow"/>
        </w:rPr>
        <w:t>rule</w:t>
      </w:r>
      <w:proofErr w:type="gramEnd"/>
      <w:r>
        <w:rPr>
          <w:rFonts w:ascii="Arial Narrow" w:hAnsi="Arial Narrow"/>
        </w:rPr>
        <w:t xml:space="preserve"> and regulations; </w:t>
      </w:r>
    </w:p>
    <w:p w14:paraId="14CCCE11" w14:textId="6A567F15" w:rsidR="006C05AC" w:rsidRDefault="007D0DB8" w:rsidP="00E805A9">
      <w:pPr>
        <w:numPr>
          <w:ilvl w:val="3"/>
          <w:numId w:val="4"/>
        </w:numPr>
        <w:tabs>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Section 394.4574(3), F.S.;</w:t>
      </w:r>
    </w:p>
    <w:p w14:paraId="1E4D32AB" w14:textId="4A3BB4F7" w:rsidR="009115B4" w:rsidRPr="009115B4" w:rsidRDefault="009115B4" w:rsidP="009115B4">
      <w:pPr>
        <w:numPr>
          <w:ilvl w:val="3"/>
          <w:numId w:val="4"/>
        </w:numPr>
        <w:tabs>
          <w:tab w:val="num" w:pos="3150"/>
        </w:tabs>
        <w:ind w:left="2160"/>
        <w:rPr>
          <w:rFonts w:ascii="Arial Narrow" w:hAnsi="Arial Narrow"/>
        </w:rPr>
      </w:pPr>
      <w:r w:rsidRPr="009115B4">
        <w:rPr>
          <w:rFonts w:ascii="Arial Narrow" w:hAnsi="Arial Narrow"/>
        </w:rPr>
        <w:t xml:space="preserve">Section 394.461(4), F.S.; </w:t>
      </w:r>
    </w:p>
    <w:p w14:paraId="129D8C96" w14:textId="19A2B1F1"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proofErr w:type="gramStart"/>
      <w:r>
        <w:rPr>
          <w:rFonts w:ascii="Arial Narrow" w:hAnsi="Arial Narrow"/>
        </w:rPr>
        <w:t>provide assistance to</w:t>
      </w:r>
      <w:proofErr w:type="gramEnd"/>
      <w:r>
        <w:rPr>
          <w:rFonts w:ascii="Arial Narrow" w:hAnsi="Arial Narrow"/>
        </w:rPr>
        <w:t xml:space="preserve">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6094F92B" w:rsidR="00BC410C" w:rsidRDefault="00BC410C" w:rsidP="00BC410C">
      <w:pPr>
        <w:numPr>
          <w:ilvl w:val="3"/>
          <w:numId w:val="4"/>
        </w:numPr>
        <w:tabs>
          <w:tab w:val="num" w:pos="3150"/>
        </w:tabs>
        <w:ind w:left="2160"/>
        <w:rPr>
          <w:rFonts w:ascii="Arial Narrow" w:hAnsi="Arial Narrow"/>
        </w:rPr>
      </w:pPr>
      <w:r>
        <w:rPr>
          <w:rFonts w:ascii="Arial Narrow" w:hAnsi="Arial Narrow"/>
        </w:rPr>
        <w:t>T</w:t>
      </w:r>
      <w:r w:rsidRPr="00BC410C">
        <w:rPr>
          <w:rFonts w:ascii="Arial Narrow" w:hAnsi="Arial Narrow"/>
        </w:rPr>
        <w:t>he availability of treatment</w:t>
      </w:r>
      <w:r w:rsidR="00381CB8">
        <w:rPr>
          <w:rFonts w:ascii="Arial Narrow" w:hAnsi="Arial Narrow"/>
        </w:rPr>
        <w:t xml:space="preserve"> services,</w:t>
      </w:r>
      <w:r w:rsidRPr="00BC410C">
        <w:rPr>
          <w:rFonts w:ascii="Arial Narrow" w:hAnsi="Arial Narrow"/>
        </w:rPr>
        <w:t xml:space="preserve"> recovery services</w:t>
      </w:r>
      <w:r w:rsidR="00381CB8">
        <w:rPr>
          <w:rFonts w:ascii="Arial Narrow" w:hAnsi="Arial Narrow"/>
        </w:rPr>
        <w:t>, and support services meeting the intent of s. 394.453</w:t>
      </w:r>
      <w:r w:rsidR="00C125D7">
        <w:rPr>
          <w:rFonts w:ascii="Arial Narrow" w:hAnsi="Arial Narrow"/>
        </w:rPr>
        <w:t>(</w:t>
      </w:r>
      <w:r w:rsidR="00B961CD">
        <w:rPr>
          <w:rFonts w:ascii="Arial Narrow" w:hAnsi="Arial Narrow"/>
        </w:rPr>
        <w:t>1</w:t>
      </w:r>
      <w:r w:rsidR="00C125D7">
        <w:rPr>
          <w:rFonts w:ascii="Arial Narrow" w:hAnsi="Arial Narrow"/>
        </w:rPr>
        <w:t>)</w:t>
      </w:r>
      <w:r w:rsidR="00381CB8">
        <w:rPr>
          <w:rFonts w:ascii="Arial Narrow" w:hAnsi="Arial Narrow"/>
        </w:rPr>
        <w:t xml:space="preserve">(c), F.S., </w:t>
      </w:r>
      <w:r w:rsidRPr="00BC410C">
        <w:rPr>
          <w:rFonts w:ascii="Arial Narrow" w:hAnsi="Arial Narrow"/>
        </w:rPr>
        <w:t xml:space="preserve">that </w:t>
      </w:r>
      <w:r w:rsidR="00381CB8">
        <w:rPr>
          <w:rFonts w:ascii="Arial Narrow" w:hAnsi="Arial Narrow"/>
        </w:rPr>
        <w:t xml:space="preserve">implement systemic </w:t>
      </w:r>
      <w:r w:rsidRPr="00BC410C">
        <w:rPr>
          <w:rFonts w:ascii="Arial Narrow" w:hAnsi="Arial Narrow"/>
        </w:rPr>
        <w:t>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04804ED0" w14:textId="76548623" w:rsidR="004E66A9" w:rsidRPr="004E66A9" w:rsidRDefault="00457BC6" w:rsidP="004E66A9">
      <w:pPr>
        <w:numPr>
          <w:ilvl w:val="3"/>
          <w:numId w:val="4"/>
        </w:numPr>
        <w:tabs>
          <w:tab w:val="num" w:pos="3150"/>
        </w:tabs>
        <w:ind w:left="2160"/>
        <w:rPr>
          <w:rFonts w:ascii="Arial Narrow" w:hAnsi="Arial Narrow"/>
        </w:rPr>
      </w:pPr>
      <w:r>
        <w:rPr>
          <w:rFonts w:ascii="Arial Narrow" w:hAnsi="Arial Narrow"/>
        </w:rPr>
        <w:t>The current system capacity</w:t>
      </w:r>
      <w:r w:rsidR="00D563BE">
        <w:rPr>
          <w:rFonts w:ascii="Arial Narrow" w:hAnsi="Arial Narrow"/>
        </w:rPr>
        <w:t>;</w:t>
      </w:r>
    </w:p>
    <w:p w14:paraId="20E94355" w14:textId="25E0283B" w:rsidR="006C05AC" w:rsidRPr="001511E6" w:rsidRDefault="00457BC6" w:rsidP="004E66A9">
      <w:pPr>
        <w:numPr>
          <w:ilvl w:val="3"/>
          <w:numId w:val="4"/>
        </w:numPr>
        <w:tabs>
          <w:tab w:val="num" w:pos="3150"/>
        </w:tabs>
        <w:ind w:left="2160"/>
        <w:rPr>
          <w:rFonts w:ascii="Arial Narrow" w:hAnsi="Arial Narrow"/>
        </w:rPr>
      </w:pPr>
      <w:r w:rsidRPr="004E66A9">
        <w:rPr>
          <w:rFonts w:ascii="Arial Narrow" w:hAnsi="Arial Narrow"/>
        </w:rPr>
        <w:t>The Managing Entity’s strategies for system engagement</w:t>
      </w:r>
      <w:r w:rsidR="00465D03" w:rsidRPr="004E66A9">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294D486C" w:rsidR="006C05AC" w:rsidRPr="004553CD" w:rsidRDefault="004E2EE1" w:rsidP="00511CB5">
      <w:pPr>
        <w:numPr>
          <w:ilvl w:val="3"/>
          <w:numId w:val="4"/>
        </w:numPr>
        <w:tabs>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77B84">
        <w:rPr>
          <w:rFonts w:ascii="Arial Narrow" w:hAnsi="Arial Narrow"/>
        </w:rPr>
        <w:t xml:space="preserve"> for the upcoming fiscal year</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32A891E" w14:textId="77777777" w:rsidR="00464AD5"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w:t>
      </w:r>
      <w:proofErr w:type="gramStart"/>
      <w:r w:rsidR="00DC59F6" w:rsidRPr="00675662">
        <w:rPr>
          <w:rFonts w:ascii="Arial Narrow" w:hAnsi="Arial Narrow"/>
        </w:rPr>
        <w:t>at</w:t>
      </w:r>
      <w:proofErr w:type="gramEnd"/>
      <w:r w:rsidR="00DC59F6" w:rsidRPr="00675662">
        <w:rPr>
          <w:rFonts w:ascii="Arial Narrow" w:hAnsi="Arial Narrow"/>
        </w:rPr>
        <w:t xml:space="preserve"> </w:t>
      </w:r>
    </w:p>
    <w:p w14:paraId="1A8364E5" w14:textId="27EC88C6" w:rsidR="00FC55E7" w:rsidRPr="00464AD5" w:rsidRDefault="00116643" w:rsidP="00464AD5">
      <w:pPr>
        <w:ind w:left="3150"/>
        <w:rPr>
          <w:rFonts w:ascii="Arial Narrow" w:hAnsi="Arial Narrow"/>
        </w:rPr>
      </w:pPr>
      <w:hyperlink r:id="rId8" w:history="1">
        <w:r w:rsidR="00464AD5" w:rsidRPr="00464AD5">
          <w:rPr>
            <w:rStyle w:val="Hyperlink"/>
            <w:rFonts w:ascii="Arial Narrow" w:hAnsi="Arial Narrow"/>
          </w:rPr>
          <w:t>https://www.asam.org/asam-criteria/about-the-asam-criteria</w:t>
        </w:r>
      </w:hyperlink>
      <w:r w:rsidR="00464AD5" w:rsidRPr="00464AD5">
        <w:rPr>
          <w:rFonts w:ascii="Arial Narrow" w:hAnsi="Arial Narrow"/>
        </w:rPr>
        <w:t>.</w:t>
      </w:r>
      <w:r w:rsidR="00137C81" w:rsidRPr="00464AD5">
        <w:rPr>
          <w:rFonts w:ascii="Arial Narrow" w:hAnsi="Arial Narrow"/>
        </w:rPr>
        <w:t xml:space="preserve"> </w:t>
      </w:r>
    </w:p>
    <w:bookmarkEnd w:id="1"/>
    <w:p w14:paraId="0B0A2013"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w:t>
      </w:r>
      <w:proofErr w:type="gramStart"/>
      <w:r w:rsidRPr="006C05AC">
        <w:rPr>
          <w:rFonts w:ascii="Arial Narrow" w:hAnsi="Arial Narrow"/>
        </w:rPr>
        <w:t>provided that</w:t>
      </w:r>
      <w:proofErr w:type="gramEnd"/>
      <w:r w:rsidRPr="006C05AC">
        <w:rPr>
          <w:rFonts w:ascii="Arial Narrow" w:hAnsi="Arial Narrow"/>
        </w:rPr>
        <w:t xml:space="preserve">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08F30D3A"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 xml:space="preserve">The Managing Entity shall maintain a comprehensive Network that provides an adequate and reasonable array of services in terms of geographic distribution to meet the service needs of individuals without excessive time and travel </w:t>
      </w:r>
      <w:proofErr w:type="gramStart"/>
      <w:r w:rsidRPr="00C85BD3">
        <w:rPr>
          <w:rFonts w:ascii="Arial Narrow" w:hAnsi="Arial Narrow"/>
        </w:rPr>
        <w:t>requirements</w:t>
      </w:r>
      <w:r w:rsidR="000962A5">
        <w:rPr>
          <w:rFonts w:ascii="Arial Narrow" w:hAnsi="Arial Narrow"/>
        </w:rPr>
        <w:t>, and</w:t>
      </w:r>
      <w:proofErr w:type="gramEnd"/>
      <w:r w:rsidR="000962A5">
        <w:rPr>
          <w:rFonts w:ascii="Arial Narrow" w:hAnsi="Arial Narrow"/>
        </w:rPr>
        <w:t xml:space="preserve"> enhances the availability of recovery-oriented practices and enhances the role of peers in the workforce</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xml:space="preserve">– Supplemental </w:t>
      </w:r>
      <w:r w:rsidRPr="00D94B15">
        <w:rPr>
          <w:rFonts w:ascii="Arial Narrow" w:hAnsi="Arial Narrow"/>
          <w:b/>
        </w:rPr>
        <w:lastRenderedPageBreak/>
        <w:t>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num" w:pos="3150"/>
        </w:tabs>
        <w:ind w:left="2160"/>
        <w:rPr>
          <w:rFonts w:ascii="Arial Narrow" w:hAnsi="Arial Narrow"/>
          <w:b/>
          <w:bCs/>
        </w:rPr>
      </w:pPr>
      <w:r w:rsidRPr="00D94B15">
        <w:rPr>
          <w:rFonts w:ascii="Arial Narrow" w:hAnsi="Arial Narrow"/>
          <w:b/>
          <w:bCs/>
        </w:rPr>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11025607" w:rsidR="00D94B15" w:rsidRPr="00D94B15" w:rsidRDefault="006C05AC" w:rsidP="00D258C7">
      <w:pPr>
        <w:numPr>
          <w:ilvl w:val="3"/>
          <w:numId w:val="4"/>
        </w:numPr>
        <w:tabs>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r w:rsidR="0053230A" w:rsidRPr="0053230A">
        <w:rPr>
          <w:rFonts w:ascii="Arial Narrow" w:hAnsi="Arial Narrow"/>
          <w:b/>
        </w:rPr>
        <w:t>Indigent Drug Program (IDP)</w:t>
      </w:r>
      <w:r w:rsidRPr="00D94B15">
        <w:rPr>
          <w:rFonts w:ascii="Arial Narrow" w:hAnsi="Arial Narrow"/>
          <w:b/>
        </w:rPr>
        <w:t>;</w:t>
      </w:r>
    </w:p>
    <w:p w14:paraId="30B245D9" w14:textId="63B9C6DC" w:rsidR="00D94B15" w:rsidRDefault="00554842" w:rsidP="00D258C7">
      <w:pPr>
        <w:numPr>
          <w:ilvl w:val="3"/>
          <w:numId w:val="4"/>
        </w:numPr>
        <w:tabs>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w:t>
      </w:r>
      <w:r w:rsidR="0053230A" w:rsidRPr="0053230A">
        <w:rPr>
          <w:rFonts w:ascii="Arial Narrow" w:hAnsi="Arial Narrow"/>
        </w:rPr>
        <w:t>s. 397.99, F.S.</w:t>
      </w:r>
      <w:r w:rsidRPr="00D94B15">
        <w:rPr>
          <w:rFonts w:ascii="Arial Narrow" w:hAnsi="Arial Narrow"/>
        </w:rPr>
        <w:t xml:space="preserve">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67DD08CD" w:rsidR="00D94B15" w:rsidRDefault="006C05AC" w:rsidP="00D258C7">
      <w:pPr>
        <w:numPr>
          <w:ilvl w:val="3"/>
          <w:numId w:val="4"/>
        </w:numPr>
        <w:tabs>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p>
    <w:p w14:paraId="0B4B0609" w14:textId="77777777" w:rsidR="00D94B15" w:rsidRDefault="0078589C" w:rsidP="00D258C7">
      <w:pPr>
        <w:numPr>
          <w:ilvl w:val="3"/>
          <w:numId w:val="4"/>
        </w:numPr>
        <w:tabs>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43EB68A8" w:rsidR="008D1743" w:rsidRPr="002A03CA" w:rsidRDefault="008D1743" w:rsidP="00D258C7">
      <w:pPr>
        <w:numPr>
          <w:ilvl w:val="3"/>
          <w:numId w:val="4"/>
        </w:numPr>
        <w:tabs>
          <w:tab w:val="num" w:pos="3150"/>
        </w:tabs>
        <w:ind w:left="2160" w:right="-360"/>
        <w:rPr>
          <w:rFonts w:ascii="Arial Narrow" w:hAnsi="Arial Narrow"/>
        </w:rPr>
      </w:pPr>
      <w:r>
        <w:rPr>
          <w:rFonts w:ascii="Arial Narrow" w:hAnsi="Arial Narrow"/>
          <w:b/>
        </w:rPr>
        <w:t>Guidance 34 – Mobile Response Team (MRT)</w:t>
      </w:r>
    </w:p>
    <w:p w14:paraId="6D57D12F" w14:textId="77777777" w:rsidR="00084674" w:rsidRPr="00084674" w:rsidRDefault="008F2E63" w:rsidP="00D258C7">
      <w:pPr>
        <w:numPr>
          <w:ilvl w:val="3"/>
          <w:numId w:val="4"/>
        </w:numPr>
        <w:tabs>
          <w:tab w:val="num" w:pos="3150"/>
        </w:tabs>
        <w:ind w:left="2160" w:right="-360"/>
        <w:rPr>
          <w:rFonts w:ascii="Arial Narrow" w:hAnsi="Arial Narrow"/>
        </w:rPr>
      </w:pPr>
      <w:r>
        <w:rPr>
          <w:rFonts w:ascii="Arial Narrow" w:hAnsi="Arial Narrow"/>
          <w:b/>
        </w:rPr>
        <w:t>Guidance 35 – Recovery Management Practices</w:t>
      </w:r>
    </w:p>
    <w:p w14:paraId="77B9AFAA" w14:textId="50B5B3AF" w:rsidR="008E70E8" w:rsidRPr="008E70E8" w:rsidRDefault="008F2E63" w:rsidP="008E70E8">
      <w:pPr>
        <w:numPr>
          <w:ilvl w:val="3"/>
          <w:numId w:val="4"/>
        </w:numPr>
        <w:tabs>
          <w:tab w:val="num" w:pos="3150"/>
        </w:tabs>
        <w:ind w:left="2160" w:right="-360"/>
        <w:rPr>
          <w:rFonts w:ascii="Arial Narrow" w:hAnsi="Arial Narrow"/>
          <w:b/>
        </w:rPr>
      </w:pPr>
      <w:bookmarkStart w:id="2" w:name="_Hlk136957318"/>
      <w:r w:rsidRPr="008E70E8">
        <w:rPr>
          <w:rFonts w:ascii="Arial Narrow" w:hAnsi="Arial Narrow"/>
          <w:b/>
        </w:rPr>
        <w:t xml:space="preserve"> </w:t>
      </w:r>
      <w:bookmarkStart w:id="3" w:name="_Hlk76031322"/>
      <w:bookmarkStart w:id="4" w:name="_Hlk76031336"/>
      <w:r w:rsidR="00280E4D" w:rsidRPr="006209A7">
        <w:rPr>
          <w:rFonts w:ascii="Arial Narrow" w:hAnsi="Arial Narrow"/>
          <w:bCs/>
          <w:i/>
          <w:iCs/>
        </w:rPr>
        <w:t>Reserved</w:t>
      </w:r>
      <w:r w:rsidR="008E70E8" w:rsidRPr="008E70E8">
        <w:rPr>
          <w:rFonts w:ascii="Arial Narrow" w:hAnsi="Arial Narrow"/>
          <w:b/>
        </w:rPr>
        <w:t>.</w:t>
      </w:r>
    </w:p>
    <w:bookmarkEnd w:id="2"/>
    <w:p w14:paraId="6E36D063" w14:textId="29951428" w:rsidR="001506FD" w:rsidRPr="00D2369A" w:rsidRDefault="00AD4D3F" w:rsidP="00D258C7">
      <w:pPr>
        <w:numPr>
          <w:ilvl w:val="3"/>
          <w:numId w:val="4"/>
        </w:numPr>
        <w:tabs>
          <w:tab w:val="num" w:pos="3150"/>
        </w:tabs>
        <w:ind w:left="2160" w:right="-360"/>
        <w:rPr>
          <w:rFonts w:ascii="Arial Narrow" w:hAnsi="Arial Narrow"/>
        </w:rPr>
      </w:pPr>
      <w:r w:rsidRPr="00D2369A">
        <w:rPr>
          <w:rFonts w:ascii="Arial Narrow" w:hAnsi="Arial Narrow"/>
        </w:rPr>
        <w:t xml:space="preserve">For any subcontracts using funds identified in </w:t>
      </w:r>
      <w:r w:rsidRPr="00D2369A">
        <w:rPr>
          <w:rFonts w:ascii="Arial Narrow" w:hAnsi="Arial Narrow"/>
          <w:b/>
          <w:bCs/>
        </w:rPr>
        <w:t>Exhibit F1</w:t>
      </w:r>
      <w:r w:rsidRPr="00D2369A">
        <w:rPr>
          <w:rFonts w:ascii="Arial Narrow" w:hAnsi="Arial Narrow"/>
        </w:rPr>
        <w:t xml:space="preserve"> as Central Receiving System or Central Receiving Facility funds, including any special category or proviso projects funds, the Managing Entity shall implement the subcontracts in compliance with </w:t>
      </w:r>
      <w:r w:rsidRPr="00D2369A">
        <w:rPr>
          <w:rFonts w:ascii="Arial Narrow" w:hAnsi="Arial Narrow"/>
          <w:b/>
          <w:bCs/>
        </w:rPr>
        <w:t>Guidance 27 – Central Receiving Systems (CRS).</w:t>
      </w:r>
      <w:bookmarkEnd w:id="3"/>
    </w:p>
    <w:p w14:paraId="1C441210" w14:textId="69E204D9" w:rsidR="00AD4D3F" w:rsidRDefault="001506FD" w:rsidP="00D258C7">
      <w:pPr>
        <w:numPr>
          <w:ilvl w:val="3"/>
          <w:numId w:val="4"/>
        </w:numPr>
        <w:tabs>
          <w:tab w:val="num" w:pos="3150"/>
        </w:tabs>
        <w:ind w:left="2160" w:right="-360"/>
        <w:rPr>
          <w:rFonts w:ascii="Arial Narrow" w:hAnsi="Arial Narrow"/>
        </w:rPr>
      </w:pPr>
      <w:r>
        <w:rPr>
          <w:rFonts w:ascii="Arial Narrow" w:hAnsi="Arial Narrow"/>
        </w:rPr>
        <w:t xml:space="preserve">Pursuant to s. 397.417, F.S, the Managing Entity shall provide recovery peer specialist training throughout the service area. </w:t>
      </w:r>
    </w:p>
    <w:p w14:paraId="5B8320BA" w14:textId="759EADB0" w:rsidR="00AB32D7" w:rsidRPr="001F3DB3" w:rsidRDefault="00AB32D7">
      <w:pPr>
        <w:numPr>
          <w:ilvl w:val="3"/>
          <w:numId w:val="4"/>
        </w:numPr>
        <w:tabs>
          <w:tab w:val="num" w:pos="3150"/>
        </w:tabs>
        <w:ind w:left="2160" w:right="-360"/>
        <w:rPr>
          <w:rFonts w:ascii="Arial Narrow" w:hAnsi="Arial Narrow"/>
        </w:rPr>
      </w:pPr>
      <w:bookmarkStart w:id="5" w:name="_Hlk122616371"/>
      <w:r w:rsidRPr="001F3DB3">
        <w:rPr>
          <w:rFonts w:ascii="Arial Narrow" w:hAnsi="Arial Narrow"/>
          <w:b/>
          <w:bCs/>
        </w:rPr>
        <w:lastRenderedPageBreak/>
        <w:t xml:space="preserve">Guidance 32 – Community Action Treatment (CAT) Team </w:t>
      </w:r>
      <w:r w:rsidRPr="001F3DB3">
        <w:rPr>
          <w:rFonts w:ascii="Arial Narrow" w:hAnsi="Arial Narrow"/>
        </w:rPr>
        <w:t xml:space="preserve"> </w:t>
      </w:r>
    </w:p>
    <w:p w14:paraId="391387FF" w14:textId="799D6B4D" w:rsidR="00C93C7D" w:rsidRDefault="00C93C7D">
      <w:pPr>
        <w:numPr>
          <w:ilvl w:val="3"/>
          <w:numId w:val="4"/>
        </w:numPr>
        <w:tabs>
          <w:tab w:val="num" w:pos="3150"/>
        </w:tabs>
        <w:ind w:left="2160" w:right="-360"/>
        <w:rPr>
          <w:rFonts w:ascii="Arial Narrow" w:hAnsi="Arial Narrow"/>
          <w:b/>
          <w:bCs/>
        </w:rPr>
      </w:pPr>
      <w:r>
        <w:rPr>
          <w:rFonts w:ascii="Arial Narrow" w:hAnsi="Arial Narrow"/>
          <w:b/>
          <w:bCs/>
        </w:rPr>
        <w:t xml:space="preserve">If Exhibit C2 Table 1a </w:t>
      </w:r>
      <w:r w:rsidRPr="001F3DB3">
        <w:rPr>
          <w:rFonts w:ascii="Arial Narrow" w:hAnsi="Arial Narrow"/>
        </w:rPr>
        <w:t xml:space="preserve">contains funds allocated for the </w:t>
      </w:r>
      <w:r>
        <w:rPr>
          <w:rFonts w:ascii="Arial Narrow" w:hAnsi="Arial Narrow"/>
        </w:rPr>
        <w:t xml:space="preserve">team models </w:t>
      </w:r>
      <w:r w:rsidRPr="001F3DB3">
        <w:rPr>
          <w:rFonts w:ascii="Arial Narrow" w:hAnsi="Arial Narrow"/>
        </w:rPr>
        <w:t>below</w:t>
      </w:r>
      <w:r w:rsidR="00EF7660">
        <w:rPr>
          <w:rFonts w:ascii="Arial Narrow" w:hAnsi="Arial Narrow"/>
        </w:rPr>
        <w:t xml:space="preserve"> </w:t>
      </w:r>
      <w:r w:rsidR="00EF7660" w:rsidRPr="00EF7660">
        <w:rPr>
          <w:rFonts w:ascii="Arial Narrow" w:hAnsi="Arial Narrow"/>
        </w:rPr>
        <w:t>the Managing Entity shall implement subcontracts in compliance</w:t>
      </w:r>
      <w:r w:rsidR="00EF7660">
        <w:rPr>
          <w:rFonts w:ascii="Arial Narrow" w:hAnsi="Arial Narrow"/>
        </w:rPr>
        <w:t xml:space="preserve"> with</w:t>
      </w:r>
      <w:r w:rsidR="00CF63FE">
        <w:rPr>
          <w:rFonts w:ascii="Arial Narrow" w:hAnsi="Arial Narrow"/>
        </w:rPr>
        <w:t xml:space="preserve"> the following guidance documents. The Managing Entity may </w:t>
      </w:r>
      <w:r w:rsidR="00CF63FE" w:rsidRPr="00CF63FE">
        <w:rPr>
          <w:rFonts w:ascii="Arial Narrow" w:hAnsi="Arial Narrow"/>
        </w:rPr>
        <w:t>elect to implement additional teams under these models,</w:t>
      </w:r>
      <w:r w:rsidR="00CF63FE">
        <w:rPr>
          <w:rFonts w:ascii="Arial Narrow" w:hAnsi="Arial Narrow"/>
        </w:rPr>
        <w:t xml:space="preserve"> on condition those subcontracts </w:t>
      </w:r>
      <w:proofErr w:type="gramStart"/>
      <w:r w:rsidR="00CF63FE">
        <w:rPr>
          <w:rFonts w:ascii="Arial Narrow" w:hAnsi="Arial Narrow"/>
        </w:rPr>
        <w:t>are in compliance with</w:t>
      </w:r>
      <w:proofErr w:type="gramEnd"/>
      <w:r w:rsidR="00CF63FE">
        <w:rPr>
          <w:rFonts w:ascii="Arial Narrow" w:hAnsi="Arial Narrow"/>
        </w:rPr>
        <w:t xml:space="preserve"> the appropriate guidance. </w:t>
      </w:r>
    </w:p>
    <w:p w14:paraId="23535541" w14:textId="3B11E88F"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36</w:t>
      </w:r>
      <w:r w:rsidR="00C93C7D" w:rsidRPr="001F3DB3">
        <w:rPr>
          <w:rFonts w:ascii="Arial Narrow" w:hAnsi="Arial Narrow"/>
          <w:b/>
          <w:bCs/>
        </w:rPr>
        <w:t xml:space="preserve"> – L</w:t>
      </w:r>
      <w:r w:rsidRPr="001F3DB3">
        <w:rPr>
          <w:rFonts w:ascii="Arial Narrow" w:hAnsi="Arial Narrow"/>
          <w:b/>
          <w:bCs/>
        </w:rPr>
        <w:t>inking, Advocating, Treating, Transitioning, Empowering and Recovery Support (LATTERS), Florida Assertive Community Treatment (FACT), Tier 2 Variation</w:t>
      </w:r>
    </w:p>
    <w:p w14:paraId="4EFA6545" w14:textId="41489F9E"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37</w:t>
      </w:r>
      <w:r w:rsidR="00C93C7D" w:rsidRPr="001F3DB3">
        <w:rPr>
          <w:rFonts w:ascii="Arial Narrow" w:hAnsi="Arial Narrow"/>
          <w:b/>
          <w:bCs/>
        </w:rPr>
        <w:t xml:space="preserve"> – F</w:t>
      </w:r>
      <w:r w:rsidRPr="001F3DB3">
        <w:rPr>
          <w:rFonts w:ascii="Arial Narrow" w:hAnsi="Arial Narrow"/>
          <w:b/>
          <w:bCs/>
        </w:rPr>
        <w:t>amily First Prevention Services Act (FFPSA) Teams - Community Action Treatment (CAT), Tier 2 Variation</w:t>
      </w:r>
    </w:p>
    <w:p w14:paraId="770BECEB" w14:textId="488C235B" w:rsidR="0087731E" w:rsidRPr="001F3DB3" w:rsidRDefault="0087731E" w:rsidP="001F3DB3">
      <w:pPr>
        <w:numPr>
          <w:ilvl w:val="4"/>
          <w:numId w:val="4"/>
        </w:numPr>
        <w:tabs>
          <w:tab w:val="clear" w:pos="1440"/>
        </w:tabs>
        <w:ind w:left="3150" w:right="-360"/>
        <w:rPr>
          <w:rFonts w:ascii="Arial Narrow" w:hAnsi="Arial Narrow"/>
          <w:b/>
          <w:bCs/>
        </w:rPr>
      </w:pPr>
      <w:r w:rsidRPr="001F3DB3">
        <w:rPr>
          <w:rFonts w:ascii="Arial Narrow" w:hAnsi="Arial Narrow"/>
          <w:b/>
          <w:bCs/>
        </w:rPr>
        <w:t>Guidance 38</w:t>
      </w:r>
      <w:r w:rsidR="00C93C7D" w:rsidRPr="001F3DB3">
        <w:rPr>
          <w:rFonts w:ascii="Arial Narrow" w:hAnsi="Arial Narrow"/>
          <w:b/>
          <w:bCs/>
        </w:rPr>
        <w:t xml:space="preserve"> – C</w:t>
      </w:r>
      <w:r w:rsidRPr="001F3DB3">
        <w:rPr>
          <w:rFonts w:ascii="Arial Narrow" w:hAnsi="Arial Narrow"/>
          <w:b/>
          <w:bCs/>
        </w:rPr>
        <w:t>ommunity Action Treatment (CAT) Team for Ages 0-10 (CAT Tier 3 Variation)</w:t>
      </w:r>
    </w:p>
    <w:p w14:paraId="1EE0E1CF" w14:textId="1ABA1FF1" w:rsidR="0087731E" w:rsidRDefault="0087731E" w:rsidP="001F3DB3">
      <w:pPr>
        <w:numPr>
          <w:ilvl w:val="4"/>
          <w:numId w:val="4"/>
        </w:numPr>
        <w:tabs>
          <w:tab w:val="clear" w:pos="1440"/>
        </w:tabs>
        <w:ind w:left="3150" w:right="-360"/>
        <w:rPr>
          <w:rFonts w:ascii="Arial Narrow" w:hAnsi="Arial Narrow"/>
          <w:b/>
          <w:bCs/>
        </w:rPr>
      </w:pPr>
      <w:bookmarkStart w:id="6" w:name="_Hlk136957504"/>
      <w:r w:rsidRPr="001F3DB3">
        <w:rPr>
          <w:rFonts w:ascii="Arial Narrow" w:hAnsi="Arial Narrow"/>
          <w:b/>
          <w:bCs/>
        </w:rPr>
        <w:t>Guidance 39</w:t>
      </w:r>
      <w:r w:rsidR="00C93C7D" w:rsidRPr="001F3DB3">
        <w:rPr>
          <w:rFonts w:ascii="Arial Narrow" w:hAnsi="Arial Narrow"/>
          <w:b/>
          <w:bCs/>
        </w:rPr>
        <w:t xml:space="preserve"> – M</w:t>
      </w:r>
      <w:r w:rsidRPr="001F3DB3">
        <w:rPr>
          <w:rFonts w:ascii="Arial Narrow" w:hAnsi="Arial Narrow"/>
          <w:b/>
          <w:bCs/>
        </w:rPr>
        <w:t xml:space="preserve">ultidisciplinary Child Welfare Teams </w:t>
      </w:r>
    </w:p>
    <w:p w14:paraId="20656C7B" w14:textId="06ABA677" w:rsidR="00280E4D" w:rsidRDefault="00280E4D" w:rsidP="001F3DB3">
      <w:pPr>
        <w:numPr>
          <w:ilvl w:val="4"/>
          <w:numId w:val="4"/>
        </w:numPr>
        <w:tabs>
          <w:tab w:val="clear" w:pos="1440"/>
        </w:tabs>
        <w:ind w:left="3150" w:right="-360"/>
        <w:rPr>
          <w:rFonts w:ascii="Arial Narrow" w:hAnsi="Arial Narrow"/>
          <w:b/>
          <w:bCs/>
        </w:rPr>
      </w:pPr>
      <w:r>
        <w:rPr>
          <w:rFonts w:ascii="Arial Narrow" w:hAnsi="Arial Narrow"/>
          <w:b/>
          <w:bCs/>
        </w:rPr>
        <w:t>Guidance 40 – F</w:t>
      </w:r>
      <w:r w:rsidRPr="00280E4D">
        <w:rPr>
          <w:rFonts w:ascii="Arial Narrow" w:hAnsi="Arial Narrow"/>
          <w:b/>
          <w:bCs/>
        </w:rPr>
        <w:t>amily Support Teams (FST) Community Action Treatment (CAT) Team, Tier 4 Variation</w:t>
      </w:r>
    </w:p>
    <w:p w14:paraId="021DE83E" w14:textId="2859A0EA" w:rsidR="00F37721" w:rsidRDefault="00F37721" w:rsidP="00F37721">
      <w:pPr>
        <w:numPr>
          <w:ilvl w:val="3"/>
          <w:numId w:val="4"/>
        </w:numPr>
        <w:tabs>
          <w:tab w:val="num" w:pos="3150"/>
        </w:tabs>
        <w:ind w:left="2160" w:right="-360"/>
        <w:rPr>
          <w:rFonts w:ascii="Arial Narrow" w:hAnsi="Arial Narrow"/>
          <w:b/>
          <w:bCs/>
        </w:rPr>
      </w:pPr>
      <w:r w:rsidRPr="00F37721">
        <w:rPr>
          <w:rFonts w:ascii="Arial Narrow" w:hAnsi="Arial Narrow"/>
          <w:b/>
          <w:bCs/>
        </w:rPr>
        <w:t xml:space="preserve">State Opioid Response (SOR) </w:t>
      </w:r>
    </w:p>
    <w:p w14:paraId="6BB3DA2C" w14:textId="4FCF2E65" w:rsidR="00F37721" w:rsidRPr="00E43B58" w:rsidRDefault="00F37721" w:rsidP="00E43B58">
      <w:pPr>
        <w:ind w:left="2160" w:right="-360"/>
        <w:rPr>
          <w:rFonts w:ascii="Arial Narrow" w:hAnsi="Arial Narrow"/>
        </w:rPr>
      </w:pPr>
      <w:r>
        <w:rPr>
          <w:rFonts w:ascii="Arial Narrow" w:hAnsi="Arial Narrow"/>
        </w:rPr>
        <w:t xml:space="preserve">The Managing Entity shall implement SOR-funded programs in compliance with </w:t>
      </w:r>
      <w:r w:rsidRPr="00E43B58">
        <w:rPr>
          <w:rFonts w:ascii="Arial Narrow" w:hAnsi="Arial Narrow"/>
          <w:b/>
          <w:bCs/>
        </w:rPr>
        <w:t>Guidance 42 – State Opioid Response (SOR) Project</w:t>
      </w:r>
      <w:r>
        <w:rPr>
          <w:rFonts w:ascii="Arial Narrow" w:hAnsi="Arial Narrow"/>
          <w:b/>
          <w:bCs/>
        </w:rPr>
        <w:t xml:space="preserve"> </w:t>
      </w:r>
      <w:r w:rsidRPr="00E43B58">
        <w:rPr>
          <w:rFonts w:ascii="Arial Narrow" w:hAnsi="Arial Narrow"/>
        </w:rPr>
        <w:t xml:space="preserve">and provide </w:t>
      </w:r>
      <w:r>
        <w:rPr>
          <w:rFonts w:ascii="Arial Narrow" w:hAnsi="Arial Narrow"/>
        </w:rPr>
        <w:t xml:space="preserve">monthly </w:t>
      </w:r>
      <w:r w:rsidRPr="00E43B58">
        <w:rPr>
          <w:rFonts w:ascii="Arial Narrow" w:hAnsi="Arial Narrow"/>
        </w:rPr>
        <w:t xml:space="preserve">supplemental data on SOR-funded Hospital Bridge Programs, </w:t>
      </w:r>
      <w:r>
        <w:rPr>
          <w:rFonts w:ascii="Arial Narrow" w:hAnsi="Arial Narrow"/>
        </w:rPr>
        <w:t xml:space="preserve">SOR-funded Recovery Community Organization activities and SOR-funded Behavioral Health Consultant activity using </w:t>
      </w:r>
      <w:r w:rsidRPr="00E43B58">
        <w:rPr>
          <w:rFonts w:ascii="Arial Narrow" w:hAnsi="Arial Narrow"/>
          <w:b/>
          <w:bCs/>
        </w:rPr>
        <w:t>Template 34 – SOR Reports</w:t>
      </w:r>
    </w:p>
    <w:bookmarkEnd w:id="4"/>
    <w:bookmarkEnd w:id="5"/>
    <w:bookmarkEnd w:id="6"/>
    <w:p w14:paraId="30089951" w14:textId="272B20EE"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priority populations</w:t>
      </w:r>
      <w:r w:rsidR="00FA4153">
        <w:rPr>
          <w:rFonts w:ascii="Arial Narrow" w:hAnsi="Arial Narrow"/>
        </w:rPr>
        <w:t xml:space="preserve"> identified therein.</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lastRenderedPageBreak/>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num" w:pos="3150"/>
        </w:tabs>
        <w:ind w:left="2160"/>
        <w:rPr>
          <w:rFonts w:ascii="Arial Narrow" w:hAnsi="Arial Narrow"/>
        </w:rPr>
      </w:pPr>
      <w:bookmarkStart w:id="7" w:name="_Hlk60648430"/>
      <w:r w:rsidRPr="00D94B15">
        <w:rPr>
          <w:rFonts w:ascii="Arial Narrow" w:hAnsi="Arial Narrow"/>
        </w:rPr>
        <w:t>The Managing Entity shall coordinate with the judicial system to</w:t>
      </w:r>
      <w:r w:rsidR="00AF6801" w:rsidRPr="00D94B15">
        <w:rPr>
          <w:rFonts w:ascii="Arial Narrow" w:hAnsi="Arial Narrow"/>
        </w:rPr>
        <w:t>:</w:t>
      </w:r>
    </w:p>
    <w:bookmarkEnd w:id="7"/>
    <w:p w14:paraId="2C091FAF" w14:textId="77777777" w:rsidR="00AF6801" w:rsidRDefault="00AF6801" w:rsidP="00D258C7">
      <w:pPr>
        <w:numPr>
          <w:ilvl w:val="4"/>
          <w:numId w:val="4"/>
        </w:numPr>
        <w:ind w:left="3150"/>
        <w:rPr>
          <w:rFonts w:ascii="Arial Narrow" w:hAnsi="Arial Narrow"/>
        </w:rPr>
      </w:pPr>
      <w:r>
        <w:rPr>
          <w:rFonts w:ascii="Arial Narrow" w:hAnsi="Arial Narrow"/>
        </w:rPr>
        <w:t xml:space="preserve">Develop specific written procedures and agreements that maximize the use of involuntary outpatient services, reduce involuntary inpatient </w:t>
      </w:r>
      <w:proofErr w:type="gramStart"/>
      <w:r>
        <w:rPr>
          <w:rFonts w:ascii="Arial Narrow" w:hAnsi="Arial Narrow"/>
        </w:rPr>
        <w:t>treatment</w:t>
      </w:r>
      <w:proofErr w:type="gramEnd"/>
      <w:r>
        <w:rPr>
          <w:rFonts w:ascii="Arial Narrow" w:hAnsi="Arial Narrow"/>
        </w:rPr>
        <w:t xml:space="preserve">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0A1B347C"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 xml:space="preserve">The Managing Entity shall participate in the interagency team meetings created </w:t>
      </w:r>
      <w:proofErr w:type="gramStart"/>
      <w:r w:rsidRPr="00D94B15">
        <w:rPr>
          <w:rFonts w:ascii="Arial Narrow" w:hAnsi="Arial Narrow"/>
        </w:rPr>
        <w:t>as a result of</w:t>
      </w:r>
      <w:proofErr w:type="gramEnd"/>
      <w:r w:rsidRPr="00D94B15">
        <w:rPr>
          <w:rFonts w:ascii="Arial Narrow" w:hAnsi="Arial Narrow"/>
        </w:rPr>
        <w:t xml:space="preserve">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w:t>
      </w:r>
      <w:r w:rsidR="0075429B">
        <w:rPr>
          <w:rFonts w:ascii="Arial Narrow" w:hAnsi="Arial Narrow"/>
          <w:b/>
        </w:rPr>
        <w:t>, Regional, and State</w:t>
      </w:r>
      <w:r w:rsidRPr="00D94B15">
        <w:rPr>
          <w:rFonts w:ascii="Arial Narrow" w:hAnsi="Arial Narrow"/>
          <w:b/>
        </w:rPr>
        <w:t xml:space="preserve"> Review Team</w:t>
      </w:r>
      <w:r w:rsidR="0075429B">
        <w:rPr>
          <w:rFonts w:ascii="Arial Narrow" w:hAnsi="Arial Narrow"/>
          <w:b/>
        </w:rPr>
        <w:t>s</w:t>
      </w:r>
      <w:r w:rsidRPr="00D94B15">
        <w:rPr>
          <w:rFonts w:ascii="Arial Narrow" w:hAnsi="Arial Narrow"/>
        </w:rPr>
        <w:t>.</w:t>
      </w:r>
    </w:p>
    <w:p w14:paraId="0FA66EA9" w14:textId="44C65E38" w:rsidR="00DA15FA" w:rsidRPr="00D94B15" w:rsidRDefault="000D30B8" w:rsidP="00DA15FA">
      <w:pPr>
        <w:numPr>
          <w:ilvl w:val="3"/>
          <w:numId w:val="4"/>
        </w:numPr>
        <w:tabs>
          <w:tab w:val="num" w:pos="3150"/>
        </w:tabs>
        <w:ind w:left="2160"/>
        <w:rPr>
          <w:rFonts w:ascii="Arial Narrow" w:hAnsi="Arial Narrow"/>
        </w:rPr>
      </w:pPr>
      <w:r w:rsidRPr="00B27A97">
        <w:rPr>
          <w:rFonts w:ascii="Arial Narrow" w:hAnsi="Arial Narrow"/>
        </w:rPr>
        <w:t xml:space="preserve">The Managing Entity Shall provide the housing coordination function specified in </w:t>
      </w:r>
      <w:r w:rsidRPr="00B27A97">
        <w:rPr>
          <w:rFonts w:ascii="Arial Narrow" w:hAnsi="Arial Narrow"/>
          <w:b/>
        </w:rPr>
        <w:t>Guidance 2</w:t>
      </w:r>
      <w:r w:rsidR="00B907AC" w:rsidRPr="00DA15FA">
        <w:rPr>
          <w:rFonts w:ascii="Arial Narrow" w:hAnsi="Arial Narrow"/>
          <w:b/>
        </w:rPr>
        <w:t>1</w:t>
      </w:r>
      <w:r w:rsidRPr="00DA15FA">
        <w:rPr>
          <w:rFonts w:ascii="Arial Narrow" w:hAnsi="Arial Narrow"/>
          <w:b/>
        </w:rPr>
        <w:t xml:space="preserve"> – Housing Coordination</w:t>
      </w:r>
      <w:r w:rsidRPr="00DA15FA">
        <w:rPr>
          <w:rFonts w:ascii="Arial Narrow" w:hAnsi="Arial Narrow"/>
        </w:rPr>
        <w:t xml:space="preserve">, with </w:t>
      </w:r>
      <w:bookmarkStart w:id="8" w:name="_Hlk60648656"/>
      <w:r w:rsidRPr="00B27A97">
        <w:rPr>
          <w:rFonts w:ascii="Arial Narrow" w:hAnsi="Arial Narrow"/>
        </w:rPr>
        <w:t xml:space="preserve">Network Service Providers </w:t>
      </w:r>
      <w:bookmarkEnd w:id="8"/>
      <w:r w:rsidRPr="00B27A97">
        <w:rPr>
          <w:rFonts w:ascii="Arial Narrow" w:hAnsi="Arial Narrow"/>
        </w:rPr>
        <w:t>and local housing and homelessness stakeholders, and the Local Community Providers of Services identified at the Department’s</w:t>
      </w:r>
      <w:r w:rsidRPr="00DA15FA">
        <w:rPr>
          <w:rFonts w:ascii="Arial Narrow" w:hAnsi="Arial Narrow"/>
        </w:rPr>
        <w:t xml:space="preserve"> Office on Homelessness webpage at</w:t>
      </w:r>
      <w:r w:rsidR="00B27A97">
        <w:rPr>
          <w:rFonts w:ascii="Arial Narrow" w:hAnsi="Arial Narrow"/>
        </w:rPr>
        <w:t xml:space="preserve"> </w:t>
      </w:r>
    </w:p>
    <w:p w14:paraId="0C9FDEC5" w14:textId="66647765" w:rsidR="000D30B8" w:rsidRDefault="00116643" w:rsidP="00DA15FA">
      <w:pPr>
        <w:ind w:left="2160"/>
        <w:rPr>
          <w:rFonts w:ascii="Arial Narrow" w:hAnsi="Arial Narrow"/>
        </w:rPr>
      </w:pPr>
      <w:hyperlink r:id="rId9" w:history="1">
        <w:r w:rsidR="008E4D8C" w:rsidRPr="00B27A97">
          <w:rPr>
            <w:rStyle w:val="Hyperlink"/>
            <w:rFonts w:ascii="Arial Narrow" w:hAnsi="Arial Narrow"/>
          </w:rPr>
          <w:t>https://www.myflfamilies.com/service-programs/homelessness</w:t>
        </w:r>
      </w:hyperlink>
      <w:r w:rsidR="00525AD0" w:rsidRPr="00B27A97">
        <w:rPr>
          <w:rFonts w:ascii="Arial Narrow" w:hAnsi="Arial Narrow"/>
        </w:rPr>
        <w:t>.</w:t>
      </w:r>
    </w:p>
    <w:p w14:paraId="374558E0" w14:textId="1FB1E921" w:rsidR="00B27A97" w:rsidRDefault="00DA15FA" w:rsidP="007D06DF">
      <w:pPr>
        <w:numPr>
          <w:ilvl w:val="3"/>
          <w:numId w:val="4"/>
        </w:numPr>
        <w:tabs>
          <w:tab w:val="left" w:pos="2160"/>
          <w:tab w:val="num" w:pos="3150"/>
          <w:tab w:val="left" w:pos="3870"/>
        </w:tabs>
        <w:ind w:left="2160"/>
        <w:rPr>
          <w:rFonts w:ascii="Arial Narrow" w:hAnsi="Arial Narrow"/>
        </w:rPr>
      </w:pPr>
      <w:r w:rsidRPr="005F73F8">
        <w:rPr>
          <w:rFonts w:ascii="Arial Narrow" w:hAnsi="Arial Narrow"/>
        </w:rPr>
        <w:lastRenderedPageBreak/>
        <w:t xml:space="preserve"> </w:t>
      </w:r>
      <w:r w:rsidR="00B27A97" w:rsidRPr="005F73F8">
        <w:rPr>
          <w:rFonts w:ascii="Arial Narrow" w:hAnsi="Arial Narrow"/>
        </w:rPr>
        <w:t xml:space="preserve">The Managing Entity shall coordinate with the </w:t>
      </w:r>
      <w:r w:rsidR="007D06DF" w:rsidRPr="005F73F8">
        <w:rPr>
          <w:rFonts w:ascii="Arial Narrow" w:hAnsi="Arial Narrow"/>
        </w:rPr>
        <w:t xml:space="preserve">Agency for Health Care Administration and all Medicaid Managed Medical Assistance (MMA) Plans active within the region </w:t>
      </w:r>
      <w:r w:rsidR="00B27A97" w:rsidRPr="005F73F8">
        <w:rPr>
          <w:rFonts w:ascii="Arial Narrow" w:hAnsi="Arial Narrow"/>
        </w:rPr>
        <w:t>to</w:t>
      </w:r>
      <w:r w:rsidRPr="005F73F8">
        <w:rPr>
          <w:rFonts w:ascii="Arial Narrow" w:hAnsi="Arial Narrow"/>
        </w:rPr>
        <w:t xml:space="preserve"> </w:t>
      </w:r>
      <w:r w:rsidR="007D06DF" w:rsidRPr="005F73F8">
        <w:rPr>
          <w:rFonts w:ascii="Arial Narrow" w:hAnsi="Arial Narrow"/>
        </w:rPr>
        <w:t xml:space="preserve">facilitate </w:t>
      </w:r>
      <w:r w:rsidR="00B27A97" w:rsidRPr="005F73F8">
        <w:rPr>
          <w:rFonts w:ascii="Arial Narrow" w:hAnsi="Arial Narrow"/>
        </w:rPr>
        <w:t>Network Service Provider</w:t>
      </w:r>
      <w:r w:rsidR="007D06DF" w:rsidRPr="005F73F8">
        <w:rPr>
          <w:rFonts w:ascii="Arial Narrow" w:hAnsi="Arial Narrow"/>
        </w:rPr>
        <w:t xml:space="preserve"> participation in available MMA Plans. The </w:t>
      </w:r>
      <w:r w:rsidR="007D06DF" w:rsidRPr="00783A23">
        <w:rPr>
          <w:rFonts w:ascii="Arial Narrow" w:hAnsi="Arial Narrow"/>
        </w:rPr>
        <w:t xml:space="preserve">Managing </w:t>
      </w:r>
      <w:r w:rsidR="005F73F8" w:rsidRPr="008F5641">
        <w:rPr>
          <w:rFonts w:ascii="Arial Narrow" w:hAnsi="Arial Narrow"/>
        </w:rPr>
        <w:t xml:space="preserve">Entity </w:t>
      </w:r>
      <w:r w:rsidR="007D06DF" w:rsidRPr="005F73F8">
        <w:rPr>
          <w:rFonts w:ascii="Arial Narrow" w:hAnsi="Arial Narrow"/>
        </w:rPr>
        <w:t xml:space="preserve">shall host, at minimum, </w:t>
      </w:r>
      <w:r w:rsidR="00D218C4">
        <w:rPr>
          <w:rFonts w:ascii="Arial Narrow" w:hAnsi="Arial Narrow"/>
        </w:rPr>
        <w:t>one</w:t>
      </w:r>
      <w:r w:rsidR="007D06DF" w:rsidRPr="005F73F8">
        <w:rPr>
          <w:rFonts w:ascii="Arial Narrow" w:hAnsi="Arial Narrow"/>
        </w:rPr>
        <w:t xml:space="preserve"> annual Network Service Provider educational workshop with each active MMA Plan</w:t>
      </w:r>
      <w:r w:rsidRPr="005F73F8">
        <w:rPr>
          <w:rFonts w:ascii="Arial Narrow" w:hAnsi="Arial Narrow"/>
        </w:rPr>
        <w:t>.</w:t>
      </w:r>
      <w:r w:rsidR="00F044AD">
        <w:rPr>
          <w:rFonts w:ascii="Arial Narrow" w:hAnsi="Arial Narrow"/>
        </w:rPr>
        <w:t xml:space="preserve"> </w:t>
      </w:r>
      <w:r w:rsidR="001506FD">
        <w:rPr>
          <w:rFonts w:ascii="Arial Narrow" w:hAnsi="Arial Narrow"/>
        </w:rPr>
        <w:t xml:space="preserve">Multiple MMA Plans may participate in a combined workshop to meet the requirements of this section. </w:t>
      </w:r>
    </w:p>
    <w:p w14:paraId="51D9E1BF" w14:textId="77777777" w:rsidR="00C8767E" w:rsidRPr="00562279" w:rsidRDefault="00C8767E" w:rsidP="00562279">
      <w:pPr>
        <w:keepNext/>
        <w:numPr>
          <w:ilvl w:val="2"/>
          <w:numId w:val="4"/>
        </w:numPr>
        <w:tabs>
          <w:tab w:val="num" w:pos="2160"/>
          <w:tab w:val="num" w:pos="2880"/>
        </w:tabs>
        <w:ind w:left="1267"/>
        <w:rPr>
          <w:rFonts w:ascii="Arial Narrow" w:hAnsi="Arial Narrow"/>
          <w:b/>
        </w:rPr>
      </w:pPr>
      <w:r w:rsidRPr="00562279">
        <w:rPr>
          <w:rFonts w:ascii="Arial Narrow" w:hAnsi="Arial Narrow"/>
          <w:b/>
        </w:rPr>
        <w:t>Florida Opioid Settlement Statewide Response</w:t>
      </w:r>
    </w:p>
    <w:p w14:paraId="2EB646DC" w14:textId="4DCF0D45" w:rsidR="00C8767E" w:rsidRDefault="00C8767E" w:rsidP="00EC4E34">
      <w:pPr>
        <w:pStyle w:val="ListParagraph"/>
        <w:numPr>
          <w:ilvl w:val="3"/>
          <w:numId w:val="4"/>
        </w:numPr>
        <w:tabs>
          <w:tab w:val="clear" w:pos="2480"/>
          <w:tab w:val="left" w:pos="3240"/>
        </w:tabs>
        <w:ind w:left="2160"/>
        <w:contextualSpacing w:val="0"/>
        <w:rPr>
          <w:rFonts w:ascii="Arial Narrow" w:eastAsia="Calibri" w:hAnsi="Arial Narrow"/>
        </w:rPr>
      </w:pPr>
      <w:r w:rsidRPr="00EC4E34">
        <w:rPr>
          <w:rFonts w:ascii="Arial Narrow" w:eastAsia="Calibri" w:hAnsi="Arial Narrow"/>
        </w:rPr>
        <w:t>The Managing Entity shall implement, administer, monitor</w:t>
      </w:r>
      <w:r w:rsidR="00EC4E34">
        <w:rPr>
          <w:rFonts w:ascii="Arial Narrow" w:eastAsia="Calibri" w:hAnsi="Arial Narrow"/>
        </w:rPr>
        <w:t>,</w:t>
      </w:r>
      <w:r w:rsidRPr="00EC4E34">
        <w:rPr>
          <w:rFonts w:ascii="Arial Narrow" w:eastAsia="Calibri" w:hAnsi="Arial Narrow"/>
        </w:rPr>
        <w:t xml:space="preserve"> and report on funds appropriated pursuant to the Managing Entity in compliance with </w:t>
      </w:r>
      <w:r w:rsidR="00EC4E34" w:rsidRPr="00EC4E34">
        <w:rPr>
          <w:rFonts w:ascii="Arial Narrow" w:eastAsia="Calibri" w:hAnsi="Arial Narrow"/>
        </w:rPr>
        <w:t>the Florida Opioid Allocation and Statewide Response</w:t>
      </w:r>
      <w:r w:rsidR="00EC4E34">
        <w:rPr>
          <w:rFonts w:ascii="Arial Narrow" w:eastAsia="Calibri" w:hAnsi="Arial Narrow"/>
        </w:rPr>
        <w:t xml:space="preserve"> </w:t>
      </w:r>
      <w:r w:rsidR="00EC4E34" w:rsidRPr="00EC4E34">
        <w:rPr>
          <w:rFonts w:ascii="Arial Narrow" w:eastAsia="Calibri" w:hAnsi="Arial Narrow"/>
        </w:rPr>
        <w:t>Agreement</w:t>
      </w:r>
      <w:r w:rsidR="00EC4E34">
        <w:rPr>
          <w:rFonts w:ascii="Arial Narrow" w:eastAsia="Calibri" w:hAnsi="Arial Narrow"/>
        </w:rPr>
        <w:t xml:space="preserve">, executed November 15, 2021, hereby incorporated by reference and supplemental </w:t>
      </w:r>
      <w:r w:rsidRPr="00EC4E34">
        <w:rPr>
          <w:rFonts w:ascii="Arial Narrow" w:eastAsia="Calibri" w:hAnsi="Arial Narrow"/>
        </w:rPr>
        <w:t>guidance as provided by the Department.</w:t>
      </w:r>
    </w:p>
    <w:p w14:paraId="1B3CFE83" w14:textId="7CC2BCAE" w:rsidR="00EC4E34" w:rsidRPr="00EC4E34" w:rsidRDefault="00EC4E34" w:rsidP="00EC4E34">
      <w:pPr>
        <w:pStyle w:val="ListParagraph"/>
        <w:numPr>
          <w:ilvl w:val="3"/>
          <w:numId w:val="4"/>
        </w:numPr>
        <w:tabs>
          <w:tab w:val="clear" w:pos="2480"/>
          <w:tab w:val="left" w:pos="3240"/>
        </w:tabs>
        <w:ind w:left="2160"/>
        <w:contextualSpacing w:val="0"/>
        <w:rPr>
          <w:rFonts w:ascii="Arial Narrow" w:eastAsia="Calibri" w:hAnsi="Arial Narrow"/>
        </w:rPr>
      </w:pPr>
      <w:r w:rsidRPr="00EC4E34">
        <w:rPr>
          <w:rFonts w:ascii="Arial Narrow" w:eastAsia="Calibri" w:hAnsi="Arial Narrow"/>
        </w:rPr>
        <w:t xml:space="preserve">The provisions of </w:t>
      </w:r>
      <w:r w:rsidRPr="00EC4E34">
        <w:rPr>
          <w:rFonts w:ascii="Arial Narrow" w:eastAsia="Calibri" w:hAnsi="Arial Narrow"/>
          <w:b/>
          <w:bCs/>
        </w:rPr>
        <w:t>Sections B-9, C-1.3.2.6, C-2.2.3.2.6, C-2.2.9, and C-2.4.5</w:t>
      </w:r>
      <w:r w:rsidRPr="00EC4E34">
        <w:rPr>
          <w:rFonts w:ascii="Arial Narrow" w:eastAsia="Calibri" w:hAnsi="Arial Narrow"/>
        </w:rPr>
        <w:t xml:space="preserve">. shall not apply to subcontracts or any other form of agreement for projects  implementing the above referenced Agreement.  </w:t>
      </w:r>
    </w:p>
    <w:p w14:paraId="21C94409" w14:textId="77777777" w:rsidR="00C8767E" w:rsidRPr="00562279" w:rsidRDefault="00C8767E" w:rsidP="00562279">
      <w:pPr>
        <w:keepNext/>
        <w:numPr>
          <w:ilvl w:val="2"/>
          <w:numId w:val="4"/>
        </w:numPr>
        <w:tabs>
          <w:tab w:val="num" w:pos="2160"/>
          <w:tab w:val="num" w:pos="2880"/>
        </w:tabs>
        <w:ind w:left="1267"/>
        <w:rPr>
          <w:rFonts w:ascii="Arial Narrow" w:hAnsi="Arial Narrow"/>
          <w:b/>
        </w:rPr>
      </w:pPr>
      <w:bookmarkStart w:id="9" w:name="_Hlk140574802"/>
      <w:r w:rsidRPr="00562279">
        <w:rPr>
          <w:rFonts w:ascii="Arial Narrow" w:hAnsi="Arial Narrow"/>
          <w:b/>
        </w:rPr>
        <w:t>Coordinated Opioid Recovery Network of Addiction Care (CORE Network)</w:t>
      </w:r>
    </w:p>
    <w:bookmarkEnd w:id="9"/>
    <w:p w14:paraId="4143C624" w14:textId="5542783C" w:rsidR="00C8767E" w:rsidRPr="00B40053"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r w:rsidRPr="00B40053">
        <w:rPr>
          <w:rFonts w:ascii="Arial Narrow" w:eastAsia="Calibri" w:hAnsi="Arial Narrow"/>
        </w:rPr>
        <w:t xml:space="preserve">Effective no later than October 1, 2023, the Managing Entity shall execute </w:t>
      </w:r>
      <w:r w:rsidR="007F1558">
        <w:rPr>
          <w:rFonts w:ascii="Arial Narrow" w:eastAsia="Calibri" w:hAnsi="Arial Narrow"/>
        </w:rPr>
        <w:t>sub</w:t>
      </w:r>
      <w:r w:rsidRPr="00B40053">
        <w:rPr>
          <w:rFonts w:ascii="Arial Narrow" w:eastAsia="Calibri" w:hAnsi="Arial Narrow"/>
        </w:rPr>
        <w:t xml:space="preserve">contracts or </w:t>
      </w:r>
      <w:r w:rsidR="007F1558" w:rsidRPr="007F1558">
        <w:rPr>
          <w:rFonts w:ascii="Arial Narrow" w:eastAsia="Calibri" w:hAnsi="Arial Narrow"/>
        </w:rPr>
        <w:t xml:space="preserve">other form of agreement </w:t>
      </w:r>
      <w:r w:rsidRPr="00B40053">
        <w:rPr>
          <w:rFonts w:ascii="Arial Narrow" w:eastAsia="Calibri" w:hAnsi="Arial Narrow"/>
        </w:rPr>
        <w:t xml:space="preserve">with the parties identified in </w:t>
      </w:r>
      <w:r w:rsidRPr="00B40053">
        <w:rPr>
          <w:rFonts w:ascii="Arial Narrow" w:eastAsia="Calibri" w:hAnsi="Arial Narrow"/>
          <w:b/>
          <w:bCs/>
        </w:rPr>
        <w:t>Exhibit C2, Table 1a</w:t>
      </w:r>
      <w:r w:rsidRPr="00B40053">
        <w:rPr>
          <w:rFonts w:ascii="Arial Narrow" w:eastAsia="Calibri" w:hAnsi="Arial Narrow"/>
        </w:rPr>
        <w:t xml:space="preserve"> for the CORE Network of Addiction Care. </w:t>
      </w:r>
    </w:p>
    <w:p w14:paraId="601527BF" w14:textId="71096E2B" w:rsidR="00C8767E" w:rsidRPr="00B40053" w:rsidRDefault="007F1558" w:rsidP="00562279">
      <w:pPr>
        <w:numPr>
          <w:ilvl w:val="3"/>
          <w:numId w:val="4"/>
        </w:numPr>
        <w:tabs>
          <w:tab w:val="clear" w:pos="2480"/>
          <w:tab w:val="num" w:pos="2880"/>
          <w:tab w:val="left" w:pos="3240"/>
          <w:tab w:val="left" w:pos="3870"/>
        </w:tabs>
        <w:ind w:left="2160" w:right="-90"/>
        <w:rPr>
          <w:rFonts w:ascii="Arial Narrow" w:eastAsia="Calibri" w:hAnsi="Arial Narrow"/>
        </w:rPr>
      </w:pPr>
      <w:r>
        <w:rPr>
          <w:rFonts w:ascii="Arial Narrow" w:eastAsia="Calibri" w:hAnsi="Arial Narrow"/>
        </w:rPr>
        <w:t>N</w:t>
      </w:r>
      <w:r w:rsidRPr="007F1558">
        <w:rPr>
          <w:rFonts w:ascii="Arial Narrow" w:eastAsia="Calibri" w:hAnsi="Arial Narrow"/>
        </w:rPr>
        <w:t>o later October 1, 2023</w:t>
      </w:r>
      <w:r>
        <w:rPr>
          <w:rFonts w:ascii="Arial Narrow" w:eastAsia="Calibri" w:hAnsi="Arial Narrow"/>
        </w:rPr>
        <w:t>, t</w:t>
      </w:r>
      <w:r w:rsidR="00C8767E" w:rsidRPr="00B40053">
        <w:rPr>
          <w:rFonts w:ascii="Arial Narrow" w:eastAsia="Calibri" w:hAnsi="Arial Narrow"/>
        </w:rPr>
        <w:t xml:space="preserve">he Managing Entity shall </w:t>
      </w:r>
      <w:r>
        <w:rPr>
          <w:rFonts w:ascii="Arial Narrow" w:eastAsia="Calibri" w:hAnsi="Arial Narrow"/>
        </w:rPr>
        <w:t xml:space="preserve">submit an implementation plan to </w:t>
      </w:r>
      <w:r w:rsidR="00C8767E" w:rsidRPr="00B40053">
        <w:rPr>
          <w:rFonts w:ascii="Arial Narrow" w:eastAsia="Calibri" w:hAnsi="Arial Narrow"/>
        </w:rPr>
        <w:t xml:space="preserve">expand the preexisting CORE network by executing new subcontracts with partners in the counties specified in </w:t>
      </w:r>
      <w:r w:rsidR="00C8767E" w:rsidRPr="00B40053">
        <w:rPr>
          <w:rFonts w:ascii="Arial Narrow" w:eastAsia="Calibri" w:hAnsi="Arial Narrow"/>
          <w:b/>
          <w:bCs/>
        </w:rPr>
        <w:t>Exhibit C2, Table 1a</w:t>
      </w:r>
      <w:r w:rsidR="00C8767E" w:rsidRPr="00B40053">
        <w:rPr>
          <w:rFonts w:ascii="Arial Narrow" w:eastAsia="Calibri" w:hAnsi="Arial Narrow"/>
        </w:rPr>
        <w:t>.</w:t>
      </w:r>
      <w:r>
        <w:rPr>
          <w:rFonts w:ascii="Arial Narrow" w:eastAsia="Calibri" w:hAnsi="Arial Narrow"/>
        </w:rPr>
        <w:t xml:space="preserve"> The plan shall target subcontract execution of the new subcontracts no later than December 1, 2023. </w:t>
      </w:r>
    </w:p>
    <w:p w14:paraId="26A2ADF8" w14:textId="77777777" w:rsidR="00C8767E" w:rsidRPr="00B40053"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bookmarkStart w:id="10" w:name="_Hlk140575933"/>
      <w:r w:rsidRPr="00B40053">
        <w:rPr>
          <w:rFonts w:ascii="Arial Narrow" w:eastAsia="Calibri" w:hAnsi="Arial Narrow"/>
        </w:rPr>
        <w:t xml:space="preserve">The Managing Entity shall implement all CORE Network subcontracts according to the provisions of </w:t>
      </w:r>
      <w:r w:rsidRPr="00B40053">
        <w:rPr>
          <w:rFonts w:ascii="Arial Narrow" w:eastAsia="Calibri" w:hAnsi="Arial Narrow"/>
          <w:b/>
          <w:bCs/>
        </w:rPr>
        <w:t xml:space="preserve">Guidance 41, </w:t>
      </w:r>
      <w:r w:rsidRPr="00B40053">
        <w:rPr>
          <w:rFonts w:ascii="Arial Narrow" w:eastAsia="Calibri" w:hAnsi="Arial Narrow"/>
        </w:rPr>
        <w:t xml:space="preserve">notwithstanding the provisions of </w:t>
      </w:r>
      <w:r w:rsidRPr="00B40053">
        <w:rPr>
          <w:rFonts w:ascii="Arial Narrow" w:eastAsia="Calibri" w:hAnsi="Arial Narrow"/>
          <w:b/>
          <w:bCs/>
        </w:rPr>
        <w:t>Sections B-9, C-1.3.2.6, C-2.2.3.2.6, C-2.2.9, or C-2.4.5.</w:t>
      </w:r>
      <w:r w:rsidRPr="00B40053">
        <w:rPr>
          <w:rFonts w:ascii="Arial Narrow" w:eastAsia="Calibri" w:hAnsi="Arial Narrow"/>
        </w:rPr>
        <w:t xml:space="preserve"> </w:t>
      </w:r>
    </w:p>
    <w:bookmarkEnd w:id="10"/>
    <w:p w14:paraId="219E9093" w14:textId="77777777" w:rsidR="00C8767E"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r w:rsidRPr="00B40053">
        <w:rPr>
          <w:rFonts w:ascii="Arial Narrow" w:eastAsia="Calibri" w:hAnsi="Arial Narrow"/>
        </w:rPr>
        <w:t xml:space="preserve">The Managing Entity shall implement the data collection process prescribed by the Department and shall make no change to the type, volume, method, and character of data captured under </w:t>
      </w:r>
      <w:r w:rsidRPr="00B40053">
        <w:rPr>
          <w:rFonts w:ascii="Arial Narrow" w:eastAsia="Calibri" w:hAnsi="Arial Narrow"/>
          <w:b/>
          <w:bCs/>
        </w:rPr>
        <w:t>Guidance 41</w:t>
      </w:r>
      <w:r w:rsidRPr="00B40053">
        <w:rPr>
          <w:rFonts w:ascii="Arial Narrow" w:eastAsia="Calibri" w:hAnsi="Arial Narrow"/>
        </w:rPr>
        <w:t xml:space="preserve">, notwithstanding the provisions of </w:t>
      </w:r>
      <w:r w:rsidRPr="00B40053">
        <w:rPr>
          <w:rFonts w:ascii="Arial Narrow" w:eastAsia="Calibri" w:hAnsi="Arial Narrow"/>
          <w:b/>
          <w:bCs/>
        </w:rPr>
        <w:t>Section C-1.4.4</w:t>
      </w:r>
      <w:r w:rsidRPr="00B40053">
        <w:rPr>
          <w:rFonts w:ascii="Arial Narrow" w:eastAsia="Calibri" w:hAnsi="Arial Narrow"/>
        </w:rPr>
        <w:t xml:space="preserve">. </w:t>
      </w:r>
    </w:p>
    <w:p w14:paraId="07494C31" w14:textId="1CA92FE1" w:rsidR="00C8767E" w:rsidRPr="00B40053" w:rsidRDefault="00C8767E" w:rsidP="00562279">
      <w:pPr>
        <w:numPr>
          <w:ilvl w:val="3"/>
          <w:numId w:val="4"/>
        </w:numPr>
        <w:tabs>
          <w:tab w:val="clear" w:pos="2480"/>
          <w:tab w:val="num" w:pos="2880"/>
          <w:tab w:val="left" w:pos="3240"/>
          <w:tab w:val="left" w:pos="3870"/>
        </w:tabs>
        <w:ind w:left="2160"/>
        <w:rPr>
          <w:rFonts w:ascii="Arial Narrow" w:eastAsia="Calibri" w:hAnsi="Arial Narrow"/>
        </w:rPr>
      </w:pPr>
      <w:r w:rsidRPr="00B40053">
        <w:rPr>
          <w:rFonts w:ascii="Arial Narrow" w:eastAsia="Calibri" w:hAnsi="Arial Narrow"/>
        </w:rPr>
        <w:t>The Managing Entity shall not require Specialty Subcontractors to formally enroll as a Network Service Provider within the subcontracted Network as a pre-condition to subcontracting within the CORE Network.</w:t>
      </w:r>
    </w:p>
    <w:p w14:paraId="6C31EB07" w14:textId="77777777" w:rsidR="006C05AC" w:rsidRPr="006C05AC" w:rsidRDefault="006C05AC" w:rsidP="006209A7">
      <w:pPr>
        <w:keepNext/>
        <w:numPr>
          <w:ilvl w:val="1"/>
          <w:numId w:val="4"/>
        </w:numPr>
        <w:tabs>
          <w:tab w:val="num" w:pos="1260"/>
        </w:tabs>
        <w:ind w:left="547"/>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1E10BBC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w:t>
      </w:r>
      <w:r w:rsidR="00A96FB9">
        <w:rPr>
          <w:rFonts w:ascii="Arial Narrow" w:hAnsi="Arial Narrow"/>
        </w:rPr>
        <w:t xml:space="preserve">as an element of the </w:t>
      </w:r>
      <w:r w:rsidR="00A96FB9" w:rsidRPr="00A96FB9">
        <w:rPr>
          <w:rFonts w:ascii="Arial Narrow" w:hAnsi="Arial Narrow"/>
        </w:rPr>
        <w:t>Annual Network Service Provider Monitoring Plan</w:t>
      </w:r>
      <w:r w:rsidR="00A96FB9">
        <w:rPr>
          <w:rFonts w:ascii="Arial Narrow" w:hAnsi="Arial Narrow"/>
        </w:rPr>
        <w:t xml:space="preserve"> required by </w:t>
      </w:r>
      <w:r w:rsidR="00A96FB9" w:rsidRPr="0076250C">
        <w:rPr>
          <w:rFonts w:ascii="Arial Narrow" w:hAnsi="Arial Narrow"/>
          <w:b/>
          <w:bCs/>
        </w:rPr>
        <w:t>Section C-1.1.7</w:t>
      </w:r>
      <w:r w:rsidR="00A96FB9">
        <w:rPr>
          <w:rFonts w:ascii="Arial Narrow" w:hAnsi="Arial Narrow"/>
        </w:rPr>
        <w:t xml:space="preserve">, </w:t>
      </w:r>
      <w:r w:rsidRPr="006C05AC">
        <w:rPr>
          <w:rFonts w:ascii="Arial Narrow" w:hAnsi="Arial Narrow"/>
        </w:rPr>
        <w:t xml:space="preserve">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8046303" w:rsidR="006A7907" w:rsidRPr="006C05AC" w:rsidRDefault="006A7907" w:rsidP="00D258C7">
      <w:pPr>
        <w:numPr>
          <w:ilvl w:val="4"/>
          <w:numId w:val="4"/>
        </w:numPr>
        <w:ind w:left="3150"/>
        <w:rPr>
          <w:rFonts w:ascii="Arial Narrow" w:hAnsi="Arial Narrow"/>
        </w:rPr>
      </w:pPr>
      <w:r>
        <w:rPr>
          <w:rFonts w:ascii="Arial Narrow" w:hAnsi="Arial Narrow"/>
        </w:rPr>
        <w:lastRenderedPageBreak/>
        <w:t>At least biennially for Network Service Providers without national accreditation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1A07BAF8" w:rsid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359C869C" w14:textId="5712C77A" w:rsidR="00CF555C" w:rsidRPr="00C56FAB" w:rsidRDefault="00CF555C" w:rsidP="00D258C7">
      <w:pPr>
        <w:numPr>
          <w:ilvl w:val="4"/>
          <w:numId w:val="4"/>
        </w:numPr>
        <w:ind w:left="3150"/>
        <w:rPr>
          <w:rFonts w:ascii="Arial Narrow" w:hAnsi="Arial Narrow"/>
        </w:rPr>
      </w:pPr>
      <w:bookmarkStart w:id="11" w:name="_Hlk138936771"/>
      <w:r>
        <w:rPr>
          <w:rFonts w:ascii="Arial Narrow" w:hAnsi="Arial Narrow"/>
        </w:rPr>
        <w:t xml:space="preserve">Employment Verification pursuant to </w:t>
      </w:r>
      <w:r w:rsidRPr="00F663E1">
        <w:rPr>
          <w:rFonts w:ascii="Arial Narrow" w:hAnsi="Arial Narrow"/>
        </w:rPr>
        <w:t>s. 448.</w:t>
      </w:r>
      <w:r w:rsidR="00D54D87" w:rsidRPr="00F663E1">
        <w:rPr>
          <w:rFonts w:ascii="Arial Narrow" w:hAnsi="Arial Narrow"/>
        </w:rPr>
        <w:t>095</w:t>
      </w:r>
      <w:r w:rsidRPr="00F663E1">
        <w:rPr>
          <w:rFonts w:ascii="Arial Narrow" w:hAnsi="Arial Narrow"/>
        </w:rPr>
        <w:t>, F.S.</w:t>
      </w:r>
    </w:p>
    <w:bookmarkEnd w:id="11"/>
    <w:p w14:paraId="14C231FA" w14:textId="77777777" w:rsidR="00B25B80" w:rsidRPr="006C05AC" w:rsidRDefault="00B25B80" w:rsidP="00D94B15">
      <w:pPr>
        <w:numPr>
          <w:ilvl w:val="3"/>
          <w:numId w:val="4"/>
        </w:numPr>
        <w:tabs>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08EE738"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r w:rsidR="00C55A7F">
        <w:rPr>
          <w:rFonts w:ascii="Arial Narrow" w:hAnsi="Arial Narrow"/>
        </w:rPr>
        <w:t xml:space="preserve"> including the requirements of </w:t>
      </w:r>
      <w:r w:rsidR="00C55A7F" w:rsidRPr="00D218C4">
        <w:rPr>
          <w:rFonts w:ascii="Arial Narrow" w:hAnsi="Arial Narrow"/>
          <w:b/>
          <w:bCs/>
        </w:rPr>
        <w:t>Section</w:t>
      </w:r>
      <w:r w:rsidR="00D218C4" w:rsidRPr="00D218C4">
        <w:rPr>
          <w:rFonts w:ascii="Arial Narrow" w:hAnsi="Arial Narrow"/>
          <w:b/>
          <w:bCs/>
        </w:rPr>
        <w:t>s</w:t>
      </w:r>
      <w:r w:rsidR="00C55A7F" w:rsidRPr="00D218C4">
        <w:rPr>
          <w:rFonts w:ascii="Arial Narrow" w:hAnsi="Arial Narrow"/>
          <w:b/>
          <w:bCs/>
        </w:rPr>
        <w:t xml:space="preserve"> C-2.2.3 and C-2.2.9</w:t>
      </w:r>
      <w:r w:rsidR="00C55A7F">
        <w:rPr>
          <w:rFonts w:ascii="Arial Narrow" w:hAnsi="Arial Narrow"/>
        </w:rPr>
        <w:t>.</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num" w:pos="3150"/>
        </w:tabs>
        <w:ind w:left="2160"/>
        <w:rPr>
          <w:rFonts w:ascii="Arial Narrow" w:hAnsi="Arial Narrow"/>
        </w:rPr>
      </w:pPr>
      <w:r>
        <w:rPr>
          <w:rFonts w:ascii="Arial Narrow" w:hAnsi="Arial Narrow"/>
        </w:rPr>
        <w:lastRenderedPageBreak/>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the provisions of ch. 65E-14, F.A.C.; and</w:t>
      </w:r>
    </w:p>
    <w:p w14:paraId="269CC141" w14:textId="3AEFEA59" w:rsidR="006C05AC" w:rsidRDefault="006C05AC" w:rsidP="00D94B15">
      <w:pPr>
        <w:numPr>
          <w:ilvl w:val="3"/>
          <w:numId w:val="4"/>
        </w:numPr>
        <w:tabs>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20FE3AA4" w14:textId="20CDC022" w:rsidR="00F67893" w:rsidRPr="006C05AC" w:rsidRDefault="00F67893" w:rsidP="00D94B15">
      <w:pPr>
        <w:numPr>
          <w:ilvl w:val="3"/>
          <w:numId w:val="4"/>
        </w:numPr>
        <w:tabs>
          <w:tab w:val="num" w:pos="3150"/>
        </w:tabs>
        <w:ind w:left="2160"/>
        <w:rPr>
          <w:rFonts w:ascii="Arial Narrow" w:hAnsi="Arial Narrow"/>
        </w:rPr>
      </w:pPr>
      <w:r>
        <w:rPr>
          <w:rFonts w:ascii="Arial Narrow" w:hAnsi="Arial Narrow"/>
        </w:rPr>
        <w:t xml:space="preserve">Compliance with the requirements of </w:t>
      </w:r>
      <w:r w:rsidRPr="009D00DC">
        <w:rPr>
          <w:rFonts w:ascii="Arial Narrow" w:hAnsi="Arial Narrow"/>
          <w:b/>
          <w:bCs/>
        </w:rPr>
        <w:t>Section C-2.2.3</w:t>
      </w:r>
      <w:r>
        <w:rPr>
          <w:rFonts w:ascii="Arial Narrow" w:hAnsi="Arial Narrow"/>
        </w:rPr>
        <w:t>.</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bookmarkStart w:id="12" w:name="_Hlk149650432"/>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Document quality of care, access to services, and outcomes for </w:t>
      </w:r>
      <w:proofErr w:type="gramStart"/>
      <w:r w:rsidRPr="006C05AC">
        <w:rPr>
          <w:rFonts w:ascii="Arial Narrow" w:hAnsi="Arial Narrow"/>
        </w:rPr>
        <w:t xml:space="preserve">each </w:t>
      </w:r>
      <w:r w:rsidR="00D573EA">
        <w:rPr>
          <w:rFonts w:ascii="Arial Narrow" w:hAnsi="Arial Narrow"/>
        </w:rPr>
        <w:t>i</w:t>
      </w:r>
      <w:r w:rsidRPr="006C05AC">
        <w:rPr>
          <w:rFonts w:ascii="Arial Narrow" w:hAnsi="Arial Narrow"/>
        </w:rPr>
        <w:t>ndividual</w:t>
      </w:r>
      <w:proofErr w:type="gramEnd"/>
      <w:r w:rsidRPr="006C05AC">
        <w:rPr>
          <w:rFonts w:ascii="Arial Narrow" w:hAnsi="Arial Narrow"/>
        </w:rPr>
        <w:t xml:space="preserve">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bookmarkEnd w:id="12"/>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 xml:space="preserve">Integrated processes for tracking and coordinating intake, admission, </w:t>
      </w:r>
      <w:proofErr w:type="gramStart"/>
      <w:r w:rsidRPr="006C05AC">
        <w:rPr>
          <w:rFonts w:ascii="Arial Narrow" w:hAnsi="Arial Narrow"/>
        </w:rPr>
        <w:t>discharge</w:t>
      </w:r>
      <w:proofErr w:type="gramEnd"/>
      <w:r w:rsidRPr="006C05AC">
        <w:rPr>
          <w:rFonts w:ascii="Arial Narrow" w:hAnsi="Arial Narrow"/>
        </w:rPr>
        <w:t xml:space="preserve"> and follow-up throughout the Network;</w:t>
      </w:r>
    </w:p>
    <w:p w14:paraId="1C565CB0"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statewide data activities, including standing Department SAMH data conference calls or meetings. When possible, the Managing Entity shall </w:t>
      </w:r>
      <w:proofErr w:type="gramStart"/>
      <w:r w:rsidRPr="006C05AC">
        <w:rPr>
          <w:rFonts w:ascii="Arial Narrow" w:hAnsi="Arial Narrow"/>
        </w:rPr>
        <w:t>make arrangements</w:t>
      </w:r>
      <w:proofErr w:type="gramEnd"/>
      <w:r w:rsidRPr="006C05AC">
        <w:rPr>
          <w:rFonts w:ascii="Arial Narrow" w:hAnsi="Arial Narrow"/>
        </w:rPr>
        <w:t xml:space="preserve">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require that all data collection required </w:t>
      </w:r>
      <w:proofErr w:type="gramStart"/>
      <w:r w:rsidRPr="006C05AC">
        <w:rPr>
          <w:rFonts w:ascii="Arial Narrow" w:hAnsi="Arial Narrow"/>
        </w:rPr>
        <w:t>as a result of</w:t>
      </w:r>
      <w:proofErr w:type="gramEnd"/>
      <w:r w:rsidRPr="006C05AC">
        <w:rPr>
          <w:rFonts w:ascii="Arial Narrow" w:hAnsi="Arial Narrow"/>
        </w:rPr>
        <w:t xml:space="preserve"> Federal and State grant awards is submitted to the appropriate parties and completed within the timeframes established by the grantor. The Department will provide technical assistance to the Managing Entity.</w:t>
      </w:r>
    </w:p>
    <w:p w14:paraId="60298EE0" w14:textId="0D8F1DE5" w:rsid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467A9C5A" w14:textId="5425AA22" w:rsidR="00DA565E" w:rsidRPr="006C05AC" w:rsidRDefault="004508EC" w:rsidP="00D258C7">
      <w:pPr>
        <w:numPr>
          <w:ilvl w:val="2"/>
          <w:numId w:val="4"/>
        </w:numPr>
        <w:tabs>
          <w:tab w:val="num" w:pos="2160"/>
          <w:tab w:val="num" w:pos="2880"/>
        </w:tabs>
        <w:ind w:left="1260"/>
        <w:rPr>
          <w:rFonts w:ascii="Arial Narrow" w:hAnsi="Arial Narrow"/>
        </w:rPr>
      </w:pPr>
      <w:r>
        <w:rPr>
          <w:rFonts w:ascii="Arial Narrow" w:hAnsi="Arial Narrow"/>
        </w:rPr>
        <w:t xml:space="preserve">Each fiscal year, the Department will distribute a draft </w:t>
      </w:r>
      <w:r w:rsidRPr="004508EC">
        <w:rPr>
          <w:rFonts w:ascii="Arial Narrow" w:hAnsi="Arial Narrow"/>
        </w:rPr>
        <w:t xml:space="preserve">Network Service Provider Catalog of Care </w:t>
      </w:r>
      <w:r>
        <w:rPr>
          <w:rFonts w:ascii="Arial Narrow" w:hAnsi="Arial Narrow"/>
        </w:rPr>
        <w:t xml:space="preserve">based on data reported by the Managing Entity. </w:t>
      </w:r>
      <w:r w:rsidR="00DA565E">
        <w:rPr>
          <w:rFonts w:ascii="Arial Narrow" w:hAnsi="Arial Narrow"/>
        </w:rPr>
        <w:t xml:space="preserve">The Managing Entity shall </w:t>
      </w:r>
      <w:r>
        <w:rPr>
          <w:rFonts w:ascii="Arial Narrow" w:hAnsi="Arial Narrow"/>
        </w:rPr>
        <w:t xml:space="preserve">validate, update if necessary, and </w:t>
      </w:r>
      <w:r w:rsidR="00DA565E">
        <w:rPr>
          <w:rFonts w:ascii="Arial Narrow" w:hAnsi="Arial Narrow"/>
        </w:rPr>
        <w:t xml:space="preserve">certify the accuracy and completeness of all data </w:t>
      </w:r>
      <w:r>
        <w:rPr>
          <w:rFonts w:ascii="Arial Narrow" w:hAnsi="Arial Narrow"/>
        </w:rPr>
        <w:t xml:space="preserve">in the draft </w:t>
      </w:r>
      <w:r w:rsidR="00DA565E" w:rsidRPr="00DA565E">
        <w:rPr>
          <w:rFonts w:ascii="Arial Narrow" w:hAnsi="Arial Narrow"/>
        </w:rPr>
        <w:t>Catalog</w:t>
      </w:r>
      <w:r w:rsidR="00DA565E">
        <w:rPr>
          <w:rFonts w:ascii="Arial Narrow" w:hAnsi="Arial Narrow"/>
        </w:rPr>
        <w:t xml:space="preserve"> within two calendar weeks after receipt of the Department’s request. </w:t>
      </w:r>
    </w:p>
    <w:p w14:paraId="355B0350" w14:textId="77777777" w:rsidR="006C05AC" w:rsidRPr="006C05AC" w:rsidRDefault="006C05AC" w:rsidP="00287005">
      <w:pPr>
        <w:keepNext/>
        <w:numPr>
          <w:ilvl w:val="1"/>
          <w:numId w:val="4"/>
        </w:numPr>
        <w:tabs>
          <w:tab w:val="num" w:pos="1260"/>
        </w:tabs>
        <w:ind w:left="547"/>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0"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13" w:name="_Hlk32229467"/>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13"/>
    <w:p w14:paraId="075210A4" w14:textId="77777777" w:rsidR="006C05AC" w:rsidRPr="006C05AC" w:rsidRDefault="006C05AC" w:rsidP="002232DA">
      <w:pPr>
        <w:keepNext/>
        <w:numPr>
          <w:ilvl w:val="2"/>
          <w:numId w:val="4"/>
        </w:numPr>
        <w:tabs>
          <w:tab w:val="num" w:pos="2160"/>
          <w:tab w:val="num" w:pos="2880"/>
        </w:tabs>
        <w:ind w:left="1267"/>
        <w:rPr>
          <w:rFonts w:ascii="Arial Narrow" w:hAnsi="Arial Narrow"/>
          <w:b/>
        </w:rPr>
      </w:pPr>
      <w:r w:rsidRPr="006C05AC">
        <w:rPr>
          <w:rFonts w:ascii="Arial Narrow" w:hAnsi="Arial Narrow"/>
          <w:b/>
        </w:rPr>
        <w:lastRenderedPageBreak/>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116643" w:rsidP="003E7D36">
      <w:pPr>
        <w:ind w:left="2160"/>
        <w:rPr>
          <w:rFonts w:ascii="Arial Narrow" w:hAnsi="Arial Narrow"/>
        </w:rPr>
      </w:pPr>
      <w:hyperlink r:id="rId11"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w:t>
      </w:r>
      <w:r w:rsidRPr="006C05AC">
        <w:rPr>
          <w:rFonts w:ascii="Arial Narrow" w:hAnsi="Arial Narrow"/>
        </w:rPr>
        <w:lastRenderedPageBreak/>
        <w:t xml:space="preserve">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num" w:pos="3150"/>
        </w:tabs>
        <w:ind w:left="2160"/>
        <w:rPr>
          <w:rFonts w:ascii="Arial Narrow" w:hAnsi="Arial Narrow"/>
        </w:rPr>
      </w:pPr>
      <w:r w:rsidRPr="00553B6A">
        <w:rPr>
          <w:rFonts w:ascii="Arial Narrow" w:hAnsi="Arial Narrow"/>
        </w:rPr>
        <w:t xml:space="preserve">A member of the Managing Entity staff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bookmarkStart w:id="14" w:name="_Hlk136617580"/>
      <w:bookmarkStart w:id="15" w:name="_Hlk149650291"/>
      <w:r w:rsidRPr="00157485">
        <w:rPr>
          <w:rFonts w:ascii="Arial Narrow" w:hAnsi="Arial Narrow"/>
          <w:b/>
        </w:rPr>
        <w:t>Additional Program Specific Funds</w:t>
      </w:r>
    </w:p>
    <w:bookmarkEnd w:id="14"/>
    <w:p w14:paraId="02694337" w14:textId="0F34D7BA" w:rsidR="006C05AC" w:rsidRPr="003A7450" w:rsidRDefault="006C05AC" w:rsidP="00553B6A">
      <w:pPr>
        <w:numPr>
          <w:ilvl w:val="3"/>
          <w:numId w:val="4"/>
        </w:numPr>
        <w:tabs>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On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w:t>
      </w:r>
      <w:proofErr w:type="gramStart"/>
      <w:r w:rsidRPr="003A7450">
        <w:rPr>
          <w:rFonts w:ascii="Arial Narrow" w:hAnsi="Arial Narrow"/>
        </w:rPr>
        <w:t>as a result of</w:t>
      </w:r>
      <w:proofErr w:type="gramEnd"/>
      <w:r w:rsidRPr="003A7450">
        <w:rPr>
          <w:rFonts w:ascii="Arial Narrow" w:hAnsi="Arial Narrow"/>
        </w:rPr>
        <w:t xml:space="preserve"> the designated funding. </w:t>
      </w:r>
    </w:p>
    <w:p w14:paraId="6E35674C" w14:textId="391E16C5" w:rsid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70866ACB" w14:textId="31161FC3" w:rsidR="00751886" w:rsidRDefault="006C05AC" w:rsidP="00751886">
      <w:pPr>
        <w:numPr>
          <w:ilvl w:val="3"/>
          <w:numId w:val="4"/>
        </w:numPr>
        <w:tabs>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bookmarkStart w:id="16" w:name="_Hlk136957865"/>
    </w:p>
    <w:p w14:paraId="7A2A6E5C" w14:textId="5DD024C4" w:rsidR="00FE4E55" w:rsidRDefault="00751886" w:rsidP="00FE4E55">
      <w:pPr>
        <w:numPr>
          <w:ilvl w:val="3"/>
          <w:numId w:val="4"/>
        </w:numPr>
        <w:tabs>
          <w:tab w:val="num" w:pos="3150"/>
        </w:tabs>
        <w:ind w:left="2160"/>
        <w:rPr>
          <w:rFonts w:ascii="Arial Narrow" w:hAnsi="Arial Narrow"/>
        </w:rPr>
      </w:pPr>
      <w:bookmarkStart w:id="17" w:name="_Hlk138938331"/>
      <w:bookmarkStart w:id="18" w:name="_Hlk136617755"/>
      <w:r w:rsidRPr="00FE4E55">
        <w:rPr>
          <w:rFonts w:ascii="Arial Narrow" w:hAnsi="Arial Narrow"/>
        </w:rPr>
        <w:t xml:space="preserve">In any subcontract with providers or projects identified </w:t>
      </w:r>
      <w:r w:rsidR="00FE4E55" w:rsidRPr="00FE4E55">
        <w:rPr>
          <w:rFonts w:ascii="Arial Narrow" w:hAnsi="Arial Narrow"/>
        </w:rPr>
        <w:t xml:space="preserve">as nonrecurring proviso </w:t>
      </w:r>
      <w:r w:rsidRPr="00FE4E55">
        <w:rPr>
          <w:rFonts w:ascii="Arial Narrow" w:hAnsi="Arial Narrow"/>
        </w:rPr>
        <w:t xml:space="preserve">in </w:t>
      </w:r>
      <w:r w:rsidRPr="00FE4E55">
        <w:rPr>
          <w:rFonts w:ascii="Arial Narrow" w:hAnsi="Arial Narrow"/>
          <w:b/>
          <w:bCs/>
        </w:rPr>
        <w:t>Exhibit C2</w:t>
      </w:r>
      <w:r w:rsidRPr="00FE4E55">
        <w:rPr>
          <w:rFonts w:ascii="Arial Narrow" w:hAnsi="Arial Narrow"/>
        </w:rPr>
        <w:t xml:space="preserve"> as specified by the current fiscal year General Appropriations Act, the Managing Entity may not incorporate any additional requirements beyond what has been prescribed by the Legislature. </w:t>
      </w:r>
    </w:p>
    <w:p w14:paraId="74D4AC67" w14:textId="031C10B1" w:rsidR="00CD279B" w:rsidRDefault="00FE4E55" w:rsidP="00FE4E55">
      <w:pPr>
        <w:numPr>
          <w:ilvl w:val="4"/>
          <w:numId w:val="4"/>
        </w:numPr>
        <w:tabs>
          <w:tab w:val="clear" w:pos="1440"/>
          <w:tab w:val="num" w:pos="4230"/>
        </w:tabs>
        <w:ind w:left="3150" w:right="-90"/>
        <w:rPr>
          <w:rFonts w:ascii="Arial Narrow" w:hAnsi="Arial Narrow"/>
        </w:rPr>
      </w:pPr>
      <w:bookmarkStart w:id="19" w:name="_Hlk138936379"/>
      <w:bookmarkEnd w:id="15"/>
      <w:r w:rsidRPr="00FE4E55">
        <w:rPr>
          <w:rFonts w:ascii="Arial Narrow" w:hAnsi="Arial Narrow"/>
        </w:rPr>
        <w:lastRenderedPageBreak/>
        <w:t>T</w:t>
      </w:r>
      <w:r w:rsidR="00751886" w:rsidRPr="00FE4E55">
        <w:rPr>
          <w:rFonts w:ascii="Arial Narrow" w:hAnsi="Arial Narrow"/>
        </w:rPr>
        <w:t xml:space="preserve">he Managing Entity </w:t>
      </w:r>
      <w:r w:rsidR="00CD279B">
        <w:rPr>
          <w:rFonts w:ascii="Arial Narrow" w:hAnsi="Arial Narrow"/>
        </w:rPr>
        <w:t>shall</w:t>
      </w:r>
      <w:r w:rsidR="00CD279B" w:rsidRPr="00FE4E55">
        <w:rPr>
          <w:rFonts w:ascii="Arial Narrow" w:hAnsi="Arial Narrow"/>
        </w:rPr>
        <w:t xml:space="preserve"> </w:t>
      </w:r>
      <w:r w:rsidR="00751886" w:rsidRPr="00FE4E55">
        <w:rPr>
          <w:rFonts w:ascii="Arial Narrow" w:hAnsi="Arial Narrow"/>
        </w:rPr>
        <w:t xml:space="preserve">not include any </w:t>
      </w:r>
      <w:r w:rsidR="00CD279B">
        <w:rPr>
          <w:rFonts w:ascii="Arial Narrow" w:hAnsi="Arial Narrow"/>
        </w:rPr>
        <w:t>restrictions</w:t>
      </w:r>
      <w:r w:rsidR="00CD279B" w:rsidRPr="00FE4E55">
        <w:rPr>
          <w:rFonts w:ascii="Arial Narrow" w:hAnsi="Arial Narrow"/>
        </w:rPr>
        <w:t xml:space="preserve"> </w:t>
      </w:r>
      <w:r w:rsidR="00751886" w:rsidRPr="00FE4E55">
        <w:rPr>
          <w:rFonts w:ascii="Arial Narrow" w:hAnsi="Arial Narrow"/>
        </w:rPr>
        <w:t>to meet Federal financial assistance criteria</w:t>
      </w:r>
      <w:r w:rsidR="00CD279B">
        <w:rPr>
          <w:rFonts w:ascii="Arial Narrow" w:hAnsi="Arial Narrow"/>
        </w:rPr>
        <w:t xml:space="preserve"> found in </w:t>
      </w:r>
      <w:r w:rsidR="00CD279B" w:rsidRPr="00CD279B">
        <w:rPr>
          <w:rFonts w:ascii="Arial Narrow" w:hAnsi="Arial Narrow"/>
        </w:rPr>
        <w:t>42.U.S.C. s. 300x, or 42 U.S.C. s. 300x-21</w:t>
      </w:r>
      <w:r w:rsidR="00CD279B">
        <w:rPr>
          <w:rFonts w:ascii="Arial Narrow" w:hAnsi="Arial Narrow"/>
        </w:rPr>
        <w:t>.</w:t>
      </w:r>
    </w:p>
    <w:p w14:paraId="05B1799D" w14:textId="60E4BD44" w:rsidR="00751886" w:rsidRDefault="00CD279B" w:rsidP="00F663E1">
      <w:pPr>
        <w:numPr>
          <w:ilvl w:val="4"/>
          <w:numId w:val="4"/>
        </w:numPr>
        <w:tabs>
          <w:tab w:val="clear" w:pos="1440"/>
          <w:tab w:val="num" w:pos="4230"/>
        </w:tabs>
        <w:ind w:left="3150" w:right="-90"/>
        <w:rPr>
          <w:rFonts w:ascii="Arial Narrow" w:hAnsi="Arial Narrow"/>
        </w:rPr>
      </w:pPr>
      <w:r>
        <w:rPr>
          <w:rFonts w:ascii="Arial Narrow" w:hAnsi="Arial Narrow"/>
        </w:rPr>
        <w:t>The Managing Entity shall not include</w:t>
      </w:r>
      <w:r w:rsidR="00751886" w:rsidRPr="00FE4E55">
        <w:rPr>
          <w:rFonts w:ascii="Arial Narrow" w:hAnsi="Arial Narrow"/>
        </w:rPr>
        <w:t xml:space="preserve"> restrictions to the target population beyond the scope of the legislative funding requests referenced in </w:t>
      </w:r>
      <w:r w:rsidR="00751886" w:rsidRPr="00FE4E55">
        <w:rPr>
          <w:rFonts w:ascii="Arial Narrow" w:hAnsi="Arial Narrow"/>
          <w:b/>
          <w:bCs/>
        </w:rPr>
        <w:t>Exhibit C2</w:t>
      </w:r>
      <w:r w:rsidR="00751886" w:rsidRPr="00FE4E55">
        <w:rPr>
          <w:rFonts w:ascii="Arial Narrow" w:hAnsi="Arial Narrow"/>
        </w:rPr>
        <w:t>.</w:t>
      </w:r>
    </w:p>
    <w:p w14:paraId="794A5293" w14:textId="1911F111" w:rsidR="00FE4E55" w:rsidRPr="00FE4E55" w:rsidRDefault="00FE4E55" w:rsidP="00F663E1">
      <w:pPr>
        <w:numPr>
          <w:ilvl w:val="4"/>
          <w:numId w:val="4"/>
        </w:numPr>
        <w:tabs>
          <w:tab w:val="clear" w:pos="1440"/>
          <w:tab w:val="num" w:pos="4230"/>
        </w:tabs>
        <w:ind w:left="3150"/>
        <w:rPr>
          <w:rFonts w:ascii="Arial Narrow" w:hAnsi="Arial Narrow"/>
        </w:rPr>
      </w:pPr>
      <w:r w:rsidRPr="00FE4E55">
        <w:rPr>
          <w:rFonts w:ascii="Arial Narrow" w:hAnsi="Arial Narrow"/>
        </w:rPr>
        <w:t xml:space="preserve">The Managing Entity shall not apply client eligibility standards found in Chapter 394, F.S., Chapter 397, F.S., </w:t>
      </w:r>
      <w:r w:rsidR="00CD279B">
        <w:rPr>
          <w:rFonts w:ascii="Arial Narrow" w:hAnsi="Arial Narrow"/>
        </w:rPr>
        <w:t xml:space="preserve">or </w:t>
      </w:r>
      <w:r w:rsidRPr="00FE4E55">
        <w:rPr>
          <w:rFonts w:ascii="Arial Narrow" w:hAnsi="Arial Narrow"/>
        </w:rPr>
        <w:t xml:space="preserve">65E-14 F.A.C., to any nonrecurring proviso projects identified in </w:t>
      </w:r>
      <w:r w:rsidRPr="00F663E1">
        <w:rPr>
          <w:rFonts w:ascii="Arial Narrow" w:hAnsi="Arial Narrow"/>
          <w:b/>
          <w:bCs/>
        </w:rPr>
        <w:t>Exhibit C2.</w:t>
      </w:r>
    </w:p>
    <w:bookmarkEnd w:id="16"/>
    <w:bookmarkEnd w:id="17"/>
    <w:bookmarkEnd w:id="18"/>
    <w:bookmarkEnd w:id="19"/>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4091D05" w14:textId="77777777" w:rsidR="00C56FAB" w:rsidRDefault="006C05AC" w:rsidP="00D258C7">
      <w:pPr>
        <w:numPr>
          <w:ilvl w:val="4"/>
          <w:numId w:val="4"/>
        </w:numPr>
        <w:tabs>
          <w:tab w:val="num" w:pos="3960"/>
        </w:tabs>
        <w:ind w:left="3150"/>
        <w:rPr>
          <w:rFonts w:ascii="Arial Narrow" w:hAnsi="Arial Narrow"/>
        </w:rPr>
      </w:pPr>
      <w:r w:rsidRPr="00157485">
        <w:rPr>
          <w:rFonts w:ascii="Arial Narrow" w:hAnsi="Arial Narrow"/>
        </w:rPr>
        <w:t>Department policies related to the delivery of service.</w:t>
      </w:r>
    </w:p>
    <w:p w14:paraId="740CEC9C" w14:textId="61FD45E7" w:rsidR="00C56FAB" w:rsidRPr="00C56FAB" w:rsidRDefault="006C05AC" w:rsidP="00F663E1">
      <w:pPr>
        <w:numPr>
          <w:ilvl w:val="4"/>
          <w:numId w:val="4"/>
        </w:numPr>
        <w:tabs>
          <w:tab w:val="num" w:pos="3960"/>
        </w:tabs>
        <w:ind w:left="3150" w:right="-450"/>
        <w:rPr>
          <w:rFonts w:ascii="Arial Narrow" w:hAnsi="Arial Narrow"/>
        </w:rPr>
      </w:pPr>
      <w:bookmarkStart w:id="20" w:name="_Hlk138936911"/>
      <w:r w:rsidRPr="00C56FAB">
        <w:rPr>
          <w:rFonts w:ascii="Arial Narrow" w:hAnsi="Arial Narrow"/>
        </w:rPr>
        <w:t xml:space="preserve"> </w:t>
      </w:r>
      <w:r w:rsidR="00C56FAB" w:rsidRPr="00C56FAB">
        <w:rPr>
          <w:rFonts w:ascii="Arial Narrow" w:hAnsi="Arial Narrow"/>
        </w:rPr>
        <w:t xml:space="preserve">Requirements to comply with the provisions of s. 448.095(5), F.S. </w:t>
      </w:r>
    </w:p>
    <w:bookmarkEnd w:id="20"/>
    <w:p w14:paraId="2145D915" w14:textId="77777777" w:rsidR="00553B6A" w:rsidRDefault="00500178" w:rsidP="00D258C7">
      <w:pPr>
        <w:numPr>
          <w:ilvl w:val="3"/>
          <w:numId w:val="4"/>
        </w:numPr>
        <w:tabs>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2"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1118B30F" w:rsidR="00F30FB3" w:rsidRDefault="00F30FB3" w:rsidP="00D258C7">
      <w:pPr>
        <w:numPr>
          <w:ilvl w:val="3"/>
          <w:numId w:val="4"/>
        </w:numPr>
        <w:tabs>
          <w:tab w:val="num" w:pos="3150"/>
        </w:tabs>
        <w:ind w:left="2160"/>
        <w:rPr>
          <w:rFonts w:ascii="Arial Narrow" w:hAnsi="Arial Narrow"/>
        </w:rPr>
      </w:pPr>
      <w:r w:rsidRPr="00553B6A">
        <w:rPr>
          <w:rFonts w:ascii="Arial Narrow" w:hAnsi="Arial Narrow"/>
        </w:rPr>
        <w:lastRenderedPageBreak/>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0B15DA06" w14:textId="63DF09EF" w:rsidR="00F00DE8" w:rsidRDefault="00F67893" w:rsidP="00D258C7">
      <w:pPr>
        <w:numPr>
          <w:ilvl w:val="3"/>
          <w:numId w:val="4"/>
        </w:numPr>
        <w:tabs>
          <w:tab w:val="num" w:pos="3150"/>
        </w:tabs>
        <w:ind w:left="2160"/>
        <w:rPr>
          <w:rFonts w:ascii="Arial Narrow" w:hAnsi="Arial Narrow"/>
        </w:rPr>
      </w:pPr>
      <w:r>
        <w:rPr>
          <w:rFonts w:ascii="Arial Narrow" w:hAnsi="Arial Narrow"/>
        </w:rPr>
        <w:t>Requirements</w:t>
      </w:r>
      <w:r w:rsidR="00672584">
        <w:rPr>
          <w:rFonts w:ascii="Arial Narrow" w:hAnsi="Arial Narrow"/>
        </w:rPr>
        <w:t xml:space="preserve"> for all </w:t>
      </w:r>
      <w:r w:rsidR="00F00DE8">
        <w:rPr>
          <w:rFonts w:ascii="Arial Narrow" w:hAnsi="Arial Narrow"/>
        </w:rPr>
        <w:t xml:space="preserve">Medicaid-enrolled </w:t>
      </w:r>
      <w:r w:rsidR="00672584">
        <w:rPr>
          <w:rFonts w:ascii="Arial Narrow" w:hAnsi="Arial Narrow"/>
        </w:rPr>
        <w:t>Network Service Providers</w:t>
      </w:r>
      <w:r w:rsidR="00F00DE8">
        <w:rPr>
          <w:rFonts w:ascii="Arial Narrow" w:hAnsi="Arial Narrow"/>
        </w:rPr>
        <w:t xml:space="preserve">, </w:t>
      </w:r>
      <w:r w:rsidR="00F00DE8" w:rsidRPr="00F00DE8">
        <w:rPr>
          <w:rFonts w:ascii="Arial Narrow" w:hAnsi="Arial Narrow"/>
        </w:rPr>
        <w:t>prior to invoicing the Managing Entity</w:t>
      </w:r>
      <w:r w:rsidR="00F00DE8">
        <w:rPr>
          <w:rFonts w:ascii="Arial Narrow" w:hAnsi="Arial Narrow"/>
        </w:rPr>
        <w:t xml:space="preserve"> for any services provided to any Medicaid-enrolled recipients, to</w:t>
      </w:r>
      <w:r w:rsidR="009D00DC">
        <w:rPr>
          <w:rFonts w:ascii="Arial Narrow" w:hAnsi="Arial Narrow"/>
        </w:rPr>
        <w:t xml:space="preserve"> document the Network Service Provider has</w:t>
      </w:r>
      <w:r w:rsidR="007A1B2B">
        <w:rPr>
          <w:rFonts w:ascii="Arial Narrow" w:hAnsi="Arial Narrow"/>
        </w:rPr>
        <w:t>:</w:t>
      </w:r>
    </w:p>
    <w:p w14:paraId="7A65BCE8" w14:textId="2BA67517" w:rsidR="00F00DE8" w:rsidRDefault="009D00DC" w:rsidP="007A1B2B">
      <w:pPr>
        <w:numPr>
          <w:ilvl w:val="4"/>
          <w:numId w:val="4"/>
        </w:numPr>
        <w:tabs>
          <w:tab w:val="num" w:pos="4050"/>
        </w:tabs>
        <w:ind w:left="2970"/>
        <w:rPr>
          <w:rFonts w:ascii="Arial Narrow" w:hAnsi="Arial Narrow"/>
        </w:rPr>
      </w:pPr>
      <w:r>
        <w:rPr>
          <w:rFonts w:ascii="Arial Narrow" w:hAnsi="Arial Narrow"/>
        </w:rPr>
        <w:t>S</w:t>
      </w:r>
      <w:r w:rsidR="00F00DE8">
        <w:rPr>
          <w:rFonts w:ascii="Arial Narrow" w:hAnsi="Arial Narrow"/>
        </w:rPr>
        <w:t>ubmi</w:t>
      </w:r>
      <w:r>
        <w:rPr>
          <w:rFonts w:ascii="Arial Narrow" w:hAnsi="Arial Narrow"/>
        </w:rPr>
        <w:t xml:space="preserve">tted </w:t>
      </w:r>
      <w:r w:rsidR="00F00DE8">
        <w:rPr>
          <w:rFonts w:ascii="Arial Narrow" w:hAnsi="Arial Narrow"/>
        </w:rPr>
        <w:t xml:space="preserve">a </w:t>
      </w:r>
      <w:r w:rsidR="00672584">
        <w:rPr>
          <w:rFonts w:ascii="Arial Narrow" w:hAnsi="Arial Narrow"/>
        </w:rPr>
        <w:t xml:space="preserve">prior authorization </w:t>
      </w:r>
      <w:r w:rsidR="00F00DE8">
        <w:rPr>
          <w:rFonts w:ascii="Arial Narrow" w:hAnsi="Arial Narrow"/>
        </w:rPr>
        <w:t xml:space="preserve">request </w:t>
      </w:r>
      <w:r w:rsidR="00F00DE8" w:rsidRPr="00F00DE8">
        <w:rPr>
          <w:rFonts w:ascii="Arial Narrow" w:hAnsi="Arial Narrow"/>
        </w:rPr>
        <w:t xml:space="preserve">for any Medicaid-covered services </w:t>
      </w:r>
      <w:r w:rsidR="00F00DE8">
        <w:rPr>
          <w:rFonts w:ascii="Arial Narrow" w:hAnsi="Arial Narrow"/>
        </w:rPr>
        <w:t xml:space="preserve">provided. </w:t>
      </w:r>
    </w:p>
    <w:p w14:paraId="256165BF" w14:textId="2717DFE5" w:rsidR="00F00DE8" w:rsidRDefault="00F00DE8" w:rsidP="007A1B2B">
      <w:pPr>
        <w:numPr>
          <w:ilvl w:val="4"/>
          <w:numId w:val="4"/>
        </w:numPr>
        <w:tabs>
          <w:tab w:val="num" w:pos="4050"/>
        </w:tabs>
        <w:ind w:left="2970"/>
        <w:rPr>
          <w:rFonts w:ascii="Arial Narrow" w:hAnsi="Arial Narrow"/>
        </w:rPr>
      </w:pPr>
      <w:r>
        <w:rPr>
          <w:rFonts w:ascii="Arial Narrow" w:hAnsi="Arial Narrow"/>
        </w:rPr>
        <w:t>A</w:t>
      </w:r>
      <w:r w:rsidR="00672584">
        <w:rPr>
          <w:rFonts w:ascii="Arial Narrow" w:hAnsi="Arial Narrow"/>
        </w:rPr>
        <w:t>ppeal</w:t>
      </w:r>
      <w:r w:rsidR="009D00DC">
        <w:rPr>
          <w:rFonts w:ascii="Arial Narrow" w:hAnsi="Arial Narrow"/>
        </w:rPr>
        <w:t>ed</w:t>
      </w:r>
      <w:r w:rsidR="00672584">
        <w:rPr>
          <w:rFonts w:ascii="Arial Narrow" w:hAnsi="Arial Narrow"/>
        </w:rPr>
        <w:t xml:space="preserve"> any denied </w:t>
      </w:r>
      <w:r>
        <w:rPr>
          <w:rFonts w:ascii="Arial Narrow" w:hAnsi="Arial Narrow"/>
        </w:rPr>
        <w:t xml:space="preserve">prior </w:t>
      </w:r>
      <w:r w:rsidR="00672584">
        <w:rPr>
          <w:rFonts w:ascii="Arial Narrow" w:hAnsi="Arial Narrow"/>
        </w:rPr>
        <w:t>authorizations</w:t>
      </w:r>
      <w:r w:rsidR="007A1B2B">
        <w:rPr>
          <w:rFonts w:ascii="Arial Narrow" w:hAnsi="Arial Narrow"/>
        </w:rPr>
        <w:t>.</w:t>
      </w:r>
    </w:p>
    <w:p w14:paraId="7B9A01B7" w14:textId="2C27553B" w:rsidR="00F67893" w:rsidRDefault="009D00DC" w:rsidP="007A1B2B">
      <w:pPr>
        <w:numPr>
          <w:ilvl w:val="4"/>
          <w:numId w:val="4"/>
        </w:numPr>
        <w:tabs>
          <w:tab w:val="num" w:pos="4050"/>
        </w:tabs>
        <w:ind w:left="2970"/>
        <w:rPr>
          <w:rFonts w:ascii="Arial Narrow" w:hAnsi="Arial Narrow"/>
        </w:rPr>
      </w:pPr>
      <w:proofErr w:type="gramStart"/>
      <w:r>
        <w:rPr>
          <w:rFonts w:ascii="Arial Narrow" w:hAnsi="Arial Narrow"/>
        </w:rPr>
        <w:t xml:space="preserve">Provided </w:t>
      </w:r>
      <w:r w:rsidR="007A1B2B" w:rsidRPr="007A1B2B">
        <w:rPr>
          <w:rFonts w:ascii="Arial Narrow" w:hAnsi="Arial Narrow"/>
        </w:rPr>
        <w:t>assistance</w:t>
      </w:r>
      <w:r w:rsidR="007A1B2B">
        <w:rPr>
          <w:rFonts w:ascii="Arial Narrow" w:hAnsi="Arial Narrow"/>
        </w:rPr>
        <w:t xml:space="preserve"> </w:t>
      </w:r>
      <w:r w:rsidR="007A1B2B" w:rsidRPr="007A1B2B">
        <w:rPr>
          <w:rFonts w:ascii="Arial Narrow" w:hAnsi="Arial Narrow"/>
        </w:rPr>
        <w:t>to</w:t>
      </w:r>
      <w:proofErr w:type="gramEnd"/>
      <w:r w:rsidR="007A1B2B" w:rsidRPr="007A1B2B">
        <w:rPr>
          <w:rFonts w:ascii="Arial Narrow" w:hAnsi="Arial Narrow"/>
        </w:rPr>
        <w:t xml:space="preserve"> appeal a denial of eligibility or coverage.</w:t>
      </w:r>
      <w:r w:rsidR="007A1B2B">
        <w:rPr>
          <w:rFonts w:ascii="Arial Narrow" w:hAnsi="Arial Narrow"/>
        </w:rPr>
        <w:t xml:space="preserve"> </w:t>
      </w:r>
    </w:p>
    <w:p w14:paraId="0CAE825C" w14:textId="6F528F3D"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Verified </w:t>
      </w:r>
      <w:r w:rsidRPr="009D00DC">
        <w:rPr>
          <w:rFonts w:ascii="Arial Narrow" w:hAnsi="Arial Narrow"/>
        </w:rPr>
        <w:t xml:space="preserve">the </w:t>
      </w:r>
      <w:r>
        <w:rPr>
          <w:rFonts w:ascii="Arial Narrow" w:hAnsi="Arial Narrow"/>
        </w:rPr>
        <w:t xml:space="preserve">provided </w:t>
      </w:r>
      <w:r w:rsidRPr="009D00DC">
        <w:rPr>
          <w:rFonts w:ascii="Arial Narrow" w:hAnsi="Arial Narrow"/>
        </w:rPr>
        <w:t xml:space="preserve">service is not </w:t>
      </w:r>
      <w:r>
        <w:rPr>
          <w:rFonts w:ascii="Arial Narrow" w:hAnsi="Arial Narrow"/>
        </w:rPr>
        <w:t xml:space="preserve">a </w:t>
      </w:r>
      <w:r w:rsidRPr="009D00DC">
        <w:rPr>
          <w:rFonts w:ascii="Arial Narrow" w:hAnsi="Arial Narrow"/>
        </w:rPr>
        <w:t xml:space="preserve">covered service under Florida Medicaid, as defined in Chapter 59G-4, F.A.C., or </w:t>
      </w:r>
      <w:r>
        <w:rPr>
          <w:rFonts w:ascii="Arial Narrow" w:hAnsi="Arial Narrow"/>
        </w:rPr>
        <w:t xml:space="preserve">is </w:t>
      </w:r>
      <w:r w:rsidRPr="009D00DC">
        <w:rPr>
          <w:rFonts w:ascii="Arial Narrow" w:hAnsi="Arial Narrow"/>
        </w:rPr>
        <w:t xml:space="preserve">not available through </w:t>
      </w:r>
      <w:r>
        <w:rPr>
          <w:rFonts w:ascii="Arial Narrow" w:hAnsi="Arial Narrow"/>
        </w:rPr>
        <w:t>the individual’s MMA Plan.</w:t>
      </w:r>
    </w:p>
    <w:p w14:paraId="1DCBC330" w14:textId="1567CFC5"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In cases where </w:t>
      </w:r>
      <w:r w:rsidRPr="009D00DC">
        <w:rPr>
          <w:rFonts w:ascii="Arial Narrow" w:hAnsi="Arial Narrow"/>
        </w:rPr>
        <w:t xml:space="preserve">the </w:t>
      </w:r>
      <w:r>
        <w:rPr>
          <w:rFonts w:ascii="Arial Narrow" w:hAnsi="Arial Narrow"/>
        </w:rPr>
        <w:t xml:space="preserve">individuals </w:t>
      </w:r>
      <w:r w:rsidRPr="009D00DC">
        <w:rPr>
          <w:rFonts w:ascii="Arial Narrow" w:hAnsi="Arial Narrow"/>
        </w:rPr>
        <w:t>Medicaid-covered service limit has been exhausted</w:t>
      </w:r>
      <w:r>
        <w:rPr>
          <w:rFonts w:ascii="Arial Narrow" w:hAnsi="Arial Narrow"/>
        </w:rPr>
        <w:t xml:space="preserve"> for mental health services, </w:t>
      </w:r>
      <w:r w:rsidRPr="009D00DC">
        <w:rPr>
          <w:rFonts w:ascii="Arial Narrow" w:hAnsi="Arial Narrow"/>
        </w:rPr>
        <w:t>a</w:t>
      </w:r>
      <w:r>
        <w:rPr>
          <w:rFonts w:ascii="Arial Narrow" w:hAnsi="Arial Narrow"/>
        </w:rPr>
        <w:t xml:space="preserve">n appropriately licensed mental health professional has issued a </w:t>
      </w:r>
      <w:r w:rsidRPr="009D00DC">
        <w:rPr>
          <w:rFonts w:ascii="Arial Narrow" w:hAnsi="Arial Narrow"/>
        </w:rPr>
        <w:t xml:space="preserve">written clinical determination that the individual continues to need the </w:t>
      </w:r>
      <w:r>
        <w:rPr>
          <w:rFonts w:ascii="Arial Narrow" w:hAnsi="Arial Narrow"/>
        </w:rPr>
        <w:t xml:space="preserve">specific </w:t>
      </w:r>
      <w:r w:rsidRPr="009D00DC">
        <w:rPr>
          <w:rFonts w:ascii="Arial Narrow" w:hAnsi="Arial Narrow"/>
        </w:rPr>
        <w:t>mental health treatment service</w:t>
      </w:r>
      <w:r>
        <w:rPr>
          <w:rFonts w:ascii="Arial Narrow" w:hAnsi="Arial Narrow"/>
        </w:rPr>
        <w:t xml:space="preserve"> provided.</w:t>
      </w:r>
    </w:p>
    <w:p w14:paraId="2D0BD205" w14:textId="59B49EA5" w:rsidR="009D00DC" w:rsidRPr="009D00DC" w:rsidRDefault="009D00DC" w:rsidP="00D218C4">
      <w:pPr>
        <w:numPr>
          <w:ilvl w:val="4"/>
          <w:numId w:val="4"/>
        </w:numPr>
        <w:tabs>
          <w:tab w:val="num" w:pos="4050"/>
        </w:tabs>
        <w:ind w:left="2970"/>
        <w:rPr>
          <w:rFonts w:ascii="Arial Narrow" w:hAnsi="Arial Narrow"/>
        </w:rPr>
      </w:pPr>
      <w:r w:rsidRPr="009D00DC">
        <w:rPr>
          <w:rFonts w:ascii="Arial Narrow" w:hAnsi="Arial Narrow"/>
        </w:rPr>
        <w:t xml:space="preserve">In cases where the </w:t>
      </w:r>
      <w:r w:rsidRPr="008F5641">
        <w:rPr>
          <w:rFonts w:ascii="Arial Narrow" w:hAnsi="Arial Narrow"/>
        </w:rPr>
        <w:t>individual</w:t>
      </w:r>
      <w:r w:rsidR="00E13A10" w:rsidRPr="008F5641">
        <w:rPr>
          <w:rFonts w:ascii="Arial Narrow" w:hAnsi="Arial Narrow"/>
        </w:rPr>
        <w:t>’</w:t>
      </w:r>
      <w:r w:rsidRPr="008F5641">
        <w:rPr>
          <w:rFonts w:ascii="Arial Narrow" w:hAnsi="Arial Narrow"/>
        </w:rPr>
        <w:t>s</w:t>
      </w:r>
      <w:r w:rsidRPr="00D218C4">
        <w:rPr>
          <w:rFonts w:ascii="Arial Narrow" w:hAnsi="Arial Narrow"/>
        </w:rPr>
        <w:t xml:space="preserve"> Medicaid-covered service limit has been exhausted for substance use disorder treatment services a qualified professional as defined in Section 397.311</w:t>
      </w:r>
      <w:r w:rsidR="0053230A">
        <w:rPr>
          <w:rFonts w:ascii="Arial Narrow" w:hAnsi="Arial Narrow"/>
        </w:rPr>
        <w:t>(35)</w:t>
      </w:r>
      <w:r w:rsidRPr="00D218C4">
        <w:rPr>
          <w:rFonts w:ascii="Arial Narrow" w:hAnsi="Arial Narrow"/>
        </w:rPr>
        <w:t>, F.S.</w:t>
      </w:r>
      <w:r w:rsidR="005F73F8" w:rsidRPr="00D218C4">
        <w:rPr>
          <w:rFonts w:ascii="Arial Narrow" w:hAnsi="Arial Narrow"/>
        </w:rPr>
        <w:t>,</w:t>
      </w:r>
      <w:r w:rsidRPr="00D218C4">
        <w:rPr>
          <w:rFonts w:ascii="Arial Narrow" w:hAnsi="Arial Narrow"/>
        </w:rPr>
        <w:t xml:space="preserve"> has issued</w:t>
      </w:r>
      <w:r w:rsidRPr="009D00DC">
        <w:rPr>
          <w:rFonts w:ascii="Arial Narrow" w:hAnsi="Arial Narrow"/>
        </w:rPr>
        <w:t xml:space="preserve"> a written clinical determination that the individual continues to need the specific</w:t>
      </w:r>
      <w:r>
        <w:rPr>
          <w:rFonts w:ascii="Arial Narrow" w:hAnsi="Arial Narrow"/>
        </w:rPr>
        <w:t xml:space="preserve"> service provided.</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num" w:pos="3150"/>
        </w:tabs>
        <w:ind w:left="2160"/>
        <w:rPr>
          <w:rFonts w:ascii="Arial Narrow" w:hAnsi="Arial Narrow"/>
        </w:rPr>
      </w:pPr>
      <w:r w:rsidRPr="00553B6A">
        <w:rPr>
          <w:rFonts w:ascii="Arial Narrow" w:hAnsi="Arial Narrow"/>
        </w:rPr>
        <w:lastRenderedPageBreak/>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18F18AC9" w:rsidR="006C05AC" w:rsidRPr="00157485" w:rsidRDefault="00E73201" w:rsidP="00D258C7">
      <w:pPr>
        <w:numPr>
          <w:ilvl w:val="2"/>
          <w:numId w:val="4"/>
        </w:numPr>
        <w:tabs>
          <w:tab w:val="num" w:pos="2160"/>
          <w:tab w:val="num" w:pos="2880"/>
        </w:tabs>
        <w:ind w:left="1260"/>
        <w:rPr>
          <w:rFonts w:ascii="Arial Narrow" w:hAnsi="Arial Narrow"/>
          <w:b/>
        </w:rPr>
      </w:pPr>
      <w:r>
        <w:rPr>
          <w:rFonts w:ascii="Arial Narrow" w:hAnsi="Arial Narrow"/>
          <w:b/>
        </w:rPr>
        <w:t xml:space="preserve">Community Persons Served </w:t>
      </w:r>
      <w:r w:rsidR="006C05AC" w:rsidRPr="00157485">
        <w:rPr>
          <w:rFonts w:ascii="Arial Narrow" w:hAnsi="Arial Narrow"/>
          <w:b/>
        </w:rPr>
        <w:t>Satisfaction Survey</w:t>
      </w:r>
    </w:p>
    <w:p w14:paraId="44E00268" w14:textId="03C50926" w:rsidR="006C05AC" w:rsidRPr="006C05AC" w:rsidRDefault="006C05AC" w:rsidP="00157485">
      <w:pPr>
        <w:tabs>
          <w:tab w:val="num" w:pos="2880"/>
        </w:tabs>
        <w:ind w:left="1260"/>
        <w:rPr>
          <w:rFonts w:ascii="Arial Narrow" w:hAnsi="Arial Narrow"/>
        </w:rPr>
      </w:pPr>
      <w:r w:rsidRPr="006C05AC">
        <w:rPr>
          <w:rFonts w:ascii="Arial Narrow" w:hAnsi="Arial Narrow"/>
        </w:rPr>
        <w:t xml:space="preserve">The Managing Entity shall ensure all Network Service Providers conduct satisfaction surveys of </w:t>
      </w:r>
      <w:r w:rsidR="00E73201">
        <w:rPr>
          <w:rFonts w:ascii="Arial Narrow" w:hAnsi="Arial Narrow"/>
        </w:rPr>
        <w:t xml:space="preserve">persons served </w:t>
      </w:r>
      <w:r w:rsidRPr="006C05AC">
        <w:rPr>
          <w:rFonts w:ascii="Arial Narrow" w:hAnsi="Arial Narrow"/>
        </w:rPr>
        <w:t>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237FDADF"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w:t>
      </w:r>
      <w:proofErr w:type="gramStart"/>
      <w:r w:rsidRPr="006C05AC">
        <w:rPr>
          <w:rFonts w:ascii="Arial Narrow" w:hAnsi="Arial Narrow"/>
        </w:rPr>
        <w:t>program, when</w:t>
      </w:r>
      <w:proofErr w:type="gramEnd"/>
      <w:r w:rsidRPr="006C05AC">
        <w:rPr>
          <w:rFonts w:ascii="Arial Narrow" w:hAnsi="Arial Narrow"/>
        </w:rPr>
        <w:t xml:space="preserve"> the services provided are paid by said program.</w:t>
      </w:r>
      <w:r w:rsidR="00854D84">
        <w:rPr>
          <w:rFonts w:ascii="Arial Narrow" w:hAnsi="Arial Narrow"/>
        </w:rPr>
        <w:t xml:space="preserve"> </w:t>
      </w:r>
    </w:p>
    <w:p w14:paraId="3124C3B4" w14:textId="7777777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Department funds may reimburse services provided to:</w:t>
      </w:r>
    </w:p>
    <w:p w14:paraId="6A74A0B7" w14:textId="45D96788"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65BB7A0D" w14:textId="5E185221" w:rsidR="00F67893"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lastRenderedPageBreak/>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num" w:pos="3150"/>
        </w:tabs>
        <w:ind w:left="2160"/>
        <w:rPr>
          <w:rFonts w:ascii="Arial Narrow" w:hAnsi="Arial Narrow"/>
        </w:rPr>
      </w:pPr>
      <w:r w:rsidRPr="00553B6A">
        <w:rPr>
          <w:rFonts w:ascii="Arial Narrow" w:hAnsi="Arial Narrow"/>
        </w:rPr>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num" w:pos="3150"/>
        </w:tabs>
        <w:ind w:left="2160"/>
        <w:rPr>
          <w:rFonts w:ascii="Arial Narrow" w:hAnsi="Arial Narrow"/>
        </w:rPr>
      </w:pPr>
      <w:r w:rsidRPr="00553B6A">
        <w:rPr>
          <w:rFonts w:ascii="Arial Narrow" w:hAnsi="Arial Narrow"/>
        </w:rPr>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w:t>
      </w:r>
      <w:proofErr w:type="gramStart"/>
      <w:r w:rsidRPr="006C05AC">
        <w:rPr>
          <w:rFonts w:ascii="Arial Narrow" w:hAnsi="Arial Narrow"/>
        </w:rPr>
        <w:t>20</w:t>
      </w:r>
      <w:proofErr w:type="gramEnd"/>
      <w:r w:rsidRPr="006C05AC">
        <w:rPr>
          <w:rFonts w:ascii="Arial Narrow" w:hAnsi="Arial Narrow"/>
        </w:rPr>
        <w:t xml:space="preserve">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7F4D1CA7" w:rsidR="006C05AC" w:rsidRPr="006C05AC" w:rsidRDefault="006C05AC" w:rsidP="00553B6A">
      <w:pPr>
        <w:numPr>
          <w:ilvl w:val="3"/>
          <w:numId w:val="4"/>
        </w:numPr>
        <w:tabs>
          <w:tab w:val="num" w:pos="3150"/>
        </w:tabs>
        <w:ind w:left="2160"/>
        <w:rPr>
          <w:rFonts w:ascii="Arial Narrow" w:hAnsi="Arial Narrow"/>
        </w:rPr>
      </w:pPr>
      <w:r w:rsidRPr="006C05AC">
        <w:rPr>
          <w:rFonts w:ascii="Arial Narrow" w:hAnsi="Arial Narrow"/>
        </w:rPr>
        <w:t>Implementation of specific appropriations, or grant funds</w:t>
      </w:r>
      <w:r w:rsidR="00FB20C8">
        <w:rPr>
          <w:rFonts w:ascii="Arial Narrow" w:hAnsi="Arial Narrow"/>
        </w:rPr>
        <w:t xml:space="preserve">, </w:t>
      </w:r>
      <w:r w:rsidR="00107528" w:rsidRPr="00107528">
        <w:rPr>
          <w:rFonts w:ascii="Arial Narrow" w:hAnsi="Arial Narrow"/>
        </w:rPr>
        <w:t xml:space="preserve">including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num" w:pos="3150"/>
        </w:tabs>
        <w:ind w:left="2160"/>
        <w:rPr>
          <w:rFonts w:ascii="Arial Narrow" w:hAnsi="Arial Narrow"/>
        </w:rPr>
      </w:pPr>
      <w:r w:rsidRPr="006C05AC">
        <w:rPr>
          <w:rFonts w:ascii="Arial Narrow" w:hAnsi="Arial Narrow"/>
        </w:rPr>
        <w:lastRenderedPageBreak/>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3B28C111"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10F6A4E7" w14:textId="77777777" w:rsidR="001506FD" w:rsidRDefault="00193D3C" w:rsidP="0056158A">
      <w:pPr>
        <w:numPr>
          <w:ilvl w:val="2"/>
          <w:numId w:val="4"/>
        </w:numPr>
        <w:tabs>
          <w:tab w:val="num" w:pos="2160"/>
          <w:tab w:val="num" w:pos="2880"/>
        </w:tabs>
        <w:ind w:left="1260"/>
        <w:rPr>
          <w:rFonts w:ascii="Arial Narrow" w:hAnsi="Arial Narrow"/>
        </w:rPr>
      </w:pPr>
      <w:r>
        <w:rPr>
          <w:rFonts w:ascii="Arial Narrow" w:hAnsi="Arial Narrow"/>
        </w:rPr>
        <w:t>The Managing Entity shall submit the information required by s. 394.9082(3)(m), F.S., annually no later than May 1.</w:t>
      </w:r>
    </w:p>
    <w:p w14:paraId="5EF54D4A" w14:textId="39DC59AA" w:rsidR="002D4EE6" w:rsidRPr="006C05AC" w:rsidRDefault="001506FD" w:rsidP="0056158A">
      <w:pPr>
        <w:numPr>
          <w:ilvl w:val="2"/>
          <w:numId w:val="4"/>
        </w:numPr>
        <w:tabs>
          <w:tab w:val="num" w:pos="2160"/>
          <w:tab w:val="num" w:pos="2880"/>
        </w:tabs>
        <w:ind w:left="1260"/>
        <w:rPr>
          <w:rFonts w:ascii="Arial Narrow" w:hAnsi="Arial Narrow"/>
        </w:rPr>
      </w:pPr>
      <w:r w:rsidRPr="001506FD">
        <w:rPr>
          <w:rFonts w:ascii="Arial Narrow" w:hAnsi="Arial Narrow"/>
        </w:rPr>
        <w:t xml:space="preserve">When a required report is intended for </w:t>
      </w:r>
      <w:r>
        <w:rPr>
          <w:rFonts w:ascii="Arial Narrow" w:hAnsi="Arial Narrow"/>
        </w:rPr>
        <w:t xml:space="preserve">Department </w:t>
      </w:r>
      <w:r w:rsidRPr="001506FD">
        <w:rPr>
          <w:rFonts w:ascii="Arial Narrow" w:hAnsi="Arial Narrow"/>
        </w:rPr>
        <w:t xml:space="preserve">transmittal </w:t>
      </w:r>
      <w:r>
        <w:rPr>
          <w:rFonts w:ascii="Arial Narrow" w:hAnsi="Arial Narrow"/>
        </w:rPr>
        <w:t xml:space="preserve">to </w:t>
      </w:r>
      <w:r w:rsidRPr="001506FD">
        <w:rPr>
          <w:rFonts w:ascii="Arial Narrow" w:hAnsi="Arial Narrow"/>
        </w:rPr>
        <w:t>any party external to the Department, the Managing Entity shall prepare the report in compliance with the Department’s Style Guide published by the Office of Communications. The Department shall provide a copy of the style guide annually and notify the Managing Entity of any periodic revisions. Annually before August 1, the Department shall provide a list of the reports to which this requirement adheres.</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w:t>
      </w:r>
      <w:proofErr w:type="gramStart"/>
      <w:r w:rsidRPr="006C05AC">
        <w:rPr>
          <w:rFonts w:ascii="Arial Narrow" w:hAnsi="Arial Narrow"/>
        </w:rPr>
        <w:t>provided that</w:t>
      </w:r>
      <w:proofErr w:type="gramEnd"/>
      <w:r w:rsidRPr="006C05AC">
        <w:rPr>
          <w:rFonts w:ascii="Arial Narrow" w:hAnsi="Arial Narrow"/>
        </w:rPr>
        <w:t xml:space="preserve">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116643" w:rsidP="00D52002">
      <w:pPr>
        <w:ind w:left="2160"/>
        <w:rPr>
          <w:rFonts w:ascii="Arial Narrow" w:hAnsi="Arial Narrow"/>
        </w:rPr>
      </w:pPr>
      <w:hyperlink r:id="rId13"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2C3B9037" w14:textId="77777777" w:rsidR="006C05AC" w:rsidRPr="006C05AC" w:rsidRDefault="006C05AC" w:rsidP="005B59FC">
      <w:pPr>
        <w:numPr>
          <w:ilvl w:val="3"/>
          <w:numId w:val="4"/>
        </w:numPr>
        <w:tabs>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116643" w:rsidP="007C1BCD">
      <w:pPr>
        <w:ind w:left="2160"/>
        <w:rPr>
          <w:rStyle w:val="Hyperlink"/>
          <w:rFonts w:ascii="Arial Narrow" w:hAnsi="Arial Narrow"/>
        </w:rPr>
      </w:pPr>
      <w:hyperlink r:id="rId14"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lastRenderedPageBreak/>
        <w:t xml:space="preserve"> </w:t>
      </w:r>
      <w:hyperlink r:id="rId15"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6"/>
      <w:footerReference w:type="default" r:id="rId17"/>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C1AB" w14:textId="77777777" w:rsidR="00D5054B" w:rsidRDefault="00D5054B" w:rsidP="00DC7393">
      <w:pPr>
        <w:spacing w:before="0" w:after="0"/>
      </w:pPr>
      <w:r>
        <w:separator/>
      </w:r>
    </w:p>
  </w:endnote>
  <w:endnote w:type="continuationSeparator" w:id="0">
    <w:p w14:paraId="725B10EF" w14:textId="77777777" w:rsidR="00D5054B" w:rsidRDefault="00D5054B" w:rsidP="00DC7393">
      <w:pPr>
        <w:spacing w:before="0" w:after="0"/>
      </w:pPr>
      <w:r>
        <w:continuationSeparator/>
      </w:r>
    </w:p>
  </w:endnote>
  <w:endnote w:type="continuationNotice" w:id="1">
    <w:p w14:paraId="2B95E3F4" w14:textId="77777777" w:rsidR="00D5054B" w:rsidRDefault="00D505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4503" w14:textId="77777777" w:rsidR="00D5054B" w:rsidRDefault="00D5054B" w:rsidP="00DC7393">
      <w:pPr>
        <w:spacing w:before="0" w:after="0"/>
      </w:pPr>
      <w:r>
        <w:separator/>
      </w:r>
    </w:p>
  </w:footnote>
  <w:footnote w:type="continuationSeparator" w:id="0">
    <w:p w14:paraId="305C03C9" w14:textId="77777777" w:rsidR="00D5054B" w:rsidRDefault="00D5054B" w:rsidP="00DC7393">
      <w:pPr>
        <w:spacing w:before="0" w:after="0"/>
      </w:pPr>
      <w:r>
        <w:continuationSeparator/>
      </w:r>
    </w:p>
  </w:footnote>
  <w:footnote w:type="continuationNotice" w:id="1">
    <w:p w14:paraId="7AE1C131" w14:textId="77777777" w:rsidR="00D5054B" w:rsidRDefault="00D505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51CC" w14:textId="4C0CF56D" w:rsidR="00640FB7" w:rsidRPr="00A5372C" w:rsidRDefault="00E43B58" w:rsidP="00DC7393">
    <w:pPr>
      <w:tabs>
        <w:tab w:val="center" w:pos="4680"/>
        <w:tab w:val="right" w:pos="9360"/>
      </w:tabs>
      <w:ind w:left="0"/>
      <w:contextualSpacing/>
      <w:rPr>
        <w:rFonts w:ascii="Arial Narrow" w:hAnsi="Arial Narrow"/>
        <w:b/>
      </w:rPr>
    </w:pPr>
    <w:r>
      <w:rPr>
        <w:rFonts w:ascii="Arial Narrow" w:hAnsi="Arial Narrow"/>
        <w:b/>
      </w:rPr>
      <w:t>November</w:t>
    </w:r>
    <w:r w:rsidR="00B7074C">
      <w:rPr>
        <w:rFonts w:ascii="Arial Narrow" w:hAnsi="Arial Narrow"/>
        <w:b/>
      </w:rPr>
      <w:t xml:space="preserve"> </w:t>
    </w:r>
    <w:r w:rsidR="00783A23">
      <w:rPr>
        <w:rFonts w:ascii="Arial Narrow" w:hAnsi="Arial Narrow"/>
        <w:b/>
      </w:rPr>
      <w:t xml:space="preserve">1, </w:t>
    </w:r>
    <w:r w:rsidR="00A93F81">
      <w:rPr>
        <w:rFonts w:ascii="Arial Narrow" w:hAnsi="Arial Narrow"/>
        <w:b/>
      </w:rPr>
      <w:t>202</w:t>
    </w:r>
    <w:r w:rsidR="00B45B7A">
      <w:rPr>
        <w:rFonts w:ascii="Arial Narrow" w:hAnsi="Arial Narrow"/>
        <w:b/>
      </w:rPr>
      <w:t>3</w:t>
    </w:r>
    <w:r w:rsidR="00640FB7" w:rsidRPr="00955D83">
      <w:rPr>
        <w:rFonts w:ascii="Arial Narrow" w:hAnsi="Arial Narrow"/>
        <w:b/>
      </w:rPr>
      <w:tab/>
    </w:r>
    <w:r w:rsidR="00640FB7"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6247B93"/>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4"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5"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387656417">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1036537706">
    <w:abstractNumId w:val="4"/>
  </w:num>
  <w:num w:numId="3" w16cid:durableId="1345982214">
    <w:abstractNumId w:val="6"/>
  </w:num>
  <w:num w:numId="4" w16cid:durableId="990132420">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2480"/>
          </w:tabs>
          <w:ind w:left="225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16cid:durableId="194319571">
    <w:abstractNumId w:val="0"/>
  </w:num>
  <w:num w:numId="6" w16cid:durableId="910654388">
    <w:abstractNumId w:val="5"/>
  </w:num>
  <w:num w:numId="7" w16cid:durableId="790243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34E01"/>
    <w:rsid w:val="00041077"/>
    <w:rsid w:val="000562A5"/>
    <w:rsid w:val="00066783"/>
    <w:rsid w:val="000755D4"/>
    <w:rsid w:val="00075734"/>
    <w:rsid w:val="00084674"/>
    <w:rsid w:val="00091D64"/>
    <w:rsid w:val="000929F3"/>
    <w:rsid w:val="000962A5"/>
    <w:rsid w:val="000A5517"/>
    <w:rsid w:val="000D30B8"/>
    <w:rsid w:val="000D673C"/>
    <w:rsid w:val="000F7B5D"/>
    <w:rsid w:val="00107528"/>
    <w:rsid w:val="00115D6E"/>
    <w:rsid w:val="00116643"/>
    <w:rsid w:val="001362C6"/>
    <w:rsid w:val="00137C81"/>
    <w:rsid w:val="00144A51"/>
    <w:rsid w:val="00150319"/>
    <w:rsid w:val="001506FD"/>
    <w:rsid w:val="001511E6"/>
    <w:rsid w:val="00157485"/>
    <w:rsid w:val="00171252"/>
    <w:rsid w:val="00172322"/>
    <w:rsid w:val="00193D3C"/>
    <w:rsid w:val="00197DFF"/>
    <w:rsid w:val="001A27EE"/>
    <w:rsid w:val="001A7705"/>
    <w:rsid w:val="001C3831"/>
    <w:rsid w:val="001E23F9"/>
    <w:rsid w:val="001F3DB3"/>
    <w:rsid w:val="001F6EA4"/>
    <w:rsid w:val="002226F9"/>
    <w:rsid w:val="002232DA"/>
    <w:rsid w:val="00223EED"/>
    <w:rsid w:val="00271BA1"/>
    <w:rsid w:val="00272002"/>
    <w:rsid w:val="00280E4D"/>
    <w:rsid w:val="002853CD"/>
    <w:rsid w:val="00287005"/>
    <w:rsid w:val="00291148"/>
    <w:rsid w:val="002A03CA"/>
    <w:rsid w:val="002B34D8"/>
    <w:rsid w:val="002B5607"/>
    <w:rsid w:val="002D0D34"/>
    <w:rsid w:val="002D459D"/>
    <w:rsid w:val="002D4EE6"/>
    <w:rsid w:val="002D6EA1"/>
    <w:rsid w:val="002E0759"/>
    <w:rsid w:val="002F39CD"/>
    <w:rsid w:val="00306512"/>
    <w:rsid w:val="00310954"/>
    <w:rsid w:val="00323B0C"/>
    <w:rsid w:val="00354020"/>
    <w:rsid w:val="003547CD"/>
    <w:rsid w:val="00360BDB"/>
    <w:rsid w:val="00381CB8"/>
    <w:rsid w:val="003A4FFE"/>
    <w:rsid w:val="003A63D3"/>
    <w:rsid w:val="003A644B"/>
    <w:rsid w:val="003A7450"/>
    <w:rsid w:val="003C55EF"/>
    <w:rsid w:val="003D4853"/>
    <w:rsid w:val="003E7D36"/>
    <w:rsid w:val="0040473F"/>
    <w:rsid w:val="0041414B"/>
    <w:rsid w:val="00425DCE"/>
    <w:rsid w:val="0043029F"/>
    <w:rsid w:val="00434AAA"/>
    <w:rsid w:val="004436CE"/>
    <w:rsid w:val="004508EC"/>
    <w:rsid w:val="004553CD"/>
    <w:rsid w:val="00457BC6"/>
    <w:rsid w:val="00464AD5"/>
    <w:rsid w:val="00465D03"/>
    <w:rsid w:val="004674EF"/>
    <w:rsid w:val="004849BA"/>
    <w:rsid w:val="0049087C"/>
    <w:rsid w:val="00493307"/>
    <w:rsid w:val="004B0591"/>
    <w:rsid w:val="004B2046"/>
    <w:rsid w:val="004B4CFB"/>
    <w:rsid w:val="004C5A55"/>
    <w:rsid w:val="004C644A"/>
    <w:rsid w:val="004D4922"/>
    <w:rsid w:val="004E03A3"/>
    <w:rsid w:val="004E2EE1"/>
    <w:rsid w:val="004E66A9"/>
    <w:rsid w:val="00500178"/>
    <w:rsid w:val="00511CB5"/>
    <w:rsid w:val="00525AD0"/>
    <w:rsid w:val="0052604A"/>
    <w:rsid w:val="0053230A"/>
    <w:rsid w:val="0053681F"/>
    <w:rsid w:val="00553B6A"/>
    <w:rsid w:val="00554842"/>
    <w:rsid w:val="0056055B"/>
    <w:rsid w:val="0056158A"/>
    <w:rsid w:val="00562279"/>
    <w:rsid w:val="005A3442"/>
    <w:rsid w:val="005A59AE"/>
    <w:rsid w:val="005A7F96"/>
    <w:rsid w:val="005B0EDE"/>
    <w:rsid w:val="005B59FC"/>
    <w:rsid w:val="005C0777"/>
    <w:rsid w:val="005D33D6"/>
    <w:rsid w:val="005D3505"/>
    <w:rsid w:val="005D57F6"/>
    <w:rsid w:val="005E30FB"/>
    <w:rsid w:val="005F0B68"/>
    <w:rsid w:val="005F3AD7"/>
    <w:rsid w:val="005F73F8"/>
    <w:rsid w:val="00605A34"/>
    <w:rsid w:val="006126B9"/>
    <w:rsid w:val="00617314"/>
    <w:rsid w:val="006209A7"/>
    <w:rsid w:val="00621B14"/>
    <w:rsid w:val="006271AD"/>
    <w:rsid w:val="00640FB7"/>
    <w:rsid w:val="00657CDC"/>
    <w:rsid w:val="00667114"/>
    <w:rsid w:val="00672584"/>
    <w:rsid w:val="00675662"/>
    <w:rsid w:val="00675EED"/>
    <w:rsid w:val="00676F50"/>
    <w:rsid w:val="006859FB"/>
    <w:rsid w:val="006A7907"/>
    <w:rsid w:val="006C05AC"/>
    <w:rsid w:val="006C2D03"/>
    <w:rsid w:val="006C2E55"/>
    <w:rsid w:val="006C4CE0"/>
    <w:rsid w:val="006C6AFB"/>
    <w:rsid w:val="006D01C2"/>
    <w:rsid w:val="006D37E8"/>
    <w:rsid w:val="006E4477"/>
    <w:rsid w:val="006F7E4B"/>
    <w:rsid w:val="00705404"/>
    <w:rsid w:val="00720105"/>
    <w:rsid w:val="007249EA"/>
    <w:rsid w:val="0072756D"/>
    <w:rsid w:val="00737696"/>
    <w:rsid w:val="00751886"/>
    <w:rsid w:val="00753EF1"/>
    <w:rsid w:val="0075429B"/>
    <w:rsid w:val="0076250C"/>
    <w:rsid w:val="007756A2"/>
    <w:rsid w:val="00783A23"/>
    <w:rsid w:val="0078589C"/>
    <w:rsid w:val="007A1B2B"/>
    <w:rsid w:val="007B6180"/>
    <w:rsid w:val="007C10F2"/>
    <w:rsid w:val="007C1BCD"/>
    <w:rsid w:val="007C353E"/>
    <w:rsid w:val="007D06DF"/>
    <w:rsid w:val="007D0DB8"/>
    <w:rsid w:val="007E26F1"/>
    <w:rsid w:val="007E7977"/>
    <w:rsid w:val="007F1558"/>
    <w:rsid w:val="007F3B57"/>
    <w:rsid w:val="007F4F60"/>
    <w:rsid w:val="00801016"/>
    <w:rsid w:val="00812E86"/>
    <w:rsid w:val="00835129"/>
    <w:rsid w:val="00846E66"/>
    <w:rsid w:val="00854D84"/>
    <w:rsid w:val="008552F8"/>
    <w:rsid w:val="00862F28"/>
    <w:rsid w:val="00872807"/>
    <w:rsid w:val="00874DFB"/>
    <w:rsid w:val="0087731E"/>
    <w:rsid w:val="00877B84"/>
    <w:rsid w:val="00882168"/>
    <w:rsid w:val="00883058"/>
    <w:rsid w:val="0088377C"/>
    <w:rsid w:val="008973B7"/>
    <w:rsid w:val="008A3500"/>
    <w:rsid w:val="008B337E"/>
    <w:rsid w:val="008B7347"/>
    <w:rsid w:val="008D0C30"/>
    <w:rsid w:val="008D1743"/>
    <w:rsid w:val="008D2C39"/>
    <w:rsid w:val="008E1DE3"/>
    <w:rsid w:val="008E4D8C"/>
    <w:rsid w:val="008E70E8"/>
    <w:rsid w:val="008F2E63"/>
    <w:rsid w:val="008F5641"/>
    <w:rsid w:val="009057DA"/>
    <w:rsid w:val="00907020"/>
    <w:rsid w:val="00907DE1"/>
    <w:rsid w:val="009115B4"/>
    <w:rsid w:val="0091301C"/>
    <w:rsid w:val="0092257E"/>
    <w:rsid w:val="0094380F"/>
    <w:rsid w:val="00961073"/>
    <w:rsid w:val="0097034B"/>
    <w:rsid w:val="00970E53"/>
    <w:rsid w:val="00994201"/>
    <w:rsid w:val="0099613F"/>
    <w:rsid w:val="00996151"/>
    <w:rsid w:val="00997638"/>
    <w:rsid w:val="009A4A07"/>
    <w:rsid w:val="009B2275"/>
    <w:rsid w:val="009B31D0"/>
    <w:rsid w:val="009B483F"/>
    <w:rsid w:val="009B4FA1"/>
    <w:rsid w:val="009C1DD5"/>
    <w:rsid w:val="009D00DC"/>
    <w:rsid w:val="009D5A83"/>
    <w:rsid w:val="009E63C5"/>
    <w:rsid w:val="00A14F33"/>
    <w:rsid w:val="00A24CF9"/>
    <w:rsid w:val="00A263FC"/>
    <w:rsid w:val="00A414E1"/>
    <w:rsid w:val="00A5372C"/>
    <w:rsid w:val="00A625B9"/>
    <w:rsid w:val="00A640E1"/>
    <w:rsid w:val="00A671C9"/>
    <w:rsid w:val="00A76D59"/>
    <w:rsid w:val="00A93F81"/>
    <w:rsid w:val="00A96FB9"/>
    <w:rsid w:val="00AA75BE"/>
    <w:rsid w:val="00AB015C"/>
    <w:rsid w:val="00AB32D7"/>
    <w:rsid w:val="00AB63FD"/>
    <w:rsid w:val="00AB6F62"/>
    <w:rsid w:val="00AC6E93"/>
    <w:rsid w:val="00AD4D3F"/>
    <w:rsid w:val="00AE2C4C"/>
    <w:rsid w:val="00AE6C8B"/>
    <w:rsid w:val="00AF0917"/>
    <w:rsid w:val="00AF6801"/>
    <w:rsid w:val="00B06756"/>
    <w:rsid w:val="00B24729"/>
    <w:rsid w:val="00B25B80"/>
    <w:rsid w:val="00B2652D"/>
    <w:rsid w:val="00B27A97"/>
    <w:rsid w:val="00B300EC"/>
    <w:rsid w:val="00B319D0"/>
    <w:rsid w:val="00B40053"/>
    <w:rsid w:val="00B428F8"/>
    <w:rsid w:val="00B45B7A"/>
    <w:rsid w:val="00B7074C"/>
    <w:rsid w:val="00B7698C"/>
    <w:rsid w:val="00B77401"/>
    <w:rsid w:val="00B80442"/>
    <w:rsid w:val="00B80B2A"/>
    <w:rsid w:val="00B81ACA"/>
    <w:rsid w:val="00B87137"/>
    <w:rsid w:val="00B90297"/>
    <w:rsid w:val="00B907AC"/>
    <w:rsid w:val="00B9395D"/>
    <w:rsid w:val="00B961CD"/>
    <w:rsid w:val="00BA5681"/>
    <w:rsid w:val="00BB7A85"/>
    <w:rsid w:val="00BC410C"/>
    <w:rsid w:val="00BD0A50"/>
    <w:rsid w:val="00BE4F22"/>
    <w:rsid w:val="00BF2307"/>
    <w:rsid w:val="00C125D7"/>
    <w:rsid w:val="00C42B27"/>
    <w:rsid w:val="00C45031"/>
    <w:rsid w:val="00C450AC"/>
    <w:rsid w:val="00C47550"/>
    <w:rsid w:val="00C47A88"/>
    <w:rsid w:val="00C55A7F"/>
    <w:rsid w:val="00C56FAB"/>
    <w:rsid w:val="00C85BD3"/>
    <w:rsid w:val="00C8767E"/>
    <w:rsid w:val="00C93C7D"/>
    <w:rsid w:val="00C94356"/>
    <w:rsid w:val="00C94875"/>
    <w:rsid w:val="00C95005"/>
    <w:rsid w:val="00CA3C44"/>
    <w:rsid w:val="00CB193A"/>
    <w:rsid w:val="00CB4AB1"/>
    <w:rsid w:val="00CB5AD4"/>
    <w:rsid w:val="00CC5EF5"/>
    <w:rsid w:val="00CC60FF"/>
    <w:rsid w:val="00CD279B"/>
    <w:rsid w:val="00CD4871"/>
    <w:rsid w:val="00CE10B7"/>
    <w:rsid w:val="00CE29E4"/>
    <w:rsid w:val="00CE567B"/>
    <w:rsid w:val="00CF555C"/>
    <w:rsid w:val="00CF63FE"/>
    <w:rsid w:val="00D12AEC"/>
    <w:rsid w:val="00D218C4"/>
    <w:rsid w:val="00D235F5"/>
    <w:rsid w:val="00D2369A"/>
    <w:rsid w:val="00D258C7"/>
    <w:rsid w:val="00D26AEA"/>
    <w:rsid w:val="00D37736"/>
    <w:rsid w:val="00D419BF"/>
    <w:rsid w:val="00D42AD0"/>
    <w:rsid w:val="00D437C9"/>
    <w:rsid w:val="00D5054B"/>
    <w:rsid w:val="00D52002"/>
    <w:rsid w:val="00D54D87"/>
    <w:rsid w:val="00D563BE"/>
    <w:rsid w:val="00D573EA"/>
    <w:rsid w:val="00D727F4"/>
    <w:rsid w:val="00D77B22"/>
    <w:rsid w:val="00D94B15"/>
    <w:rsid w:val="00DA15FA"/>
    <w:rsid w:val="00DA4845"/>
    <w:rsid w:val="00DA565E"/>
    <w:rsid w:val="00DB2110"/>
    <w:rsid w:val="00DB3AAA"/>
    <w:rsid w:val="00DB6E2F"/>
    <w:rsid w:val="00DC5086"/>
    <w:rsid w:val="00DC59F6"/>
    <w:rsid w:val="00DC7393"/>
    <w:rsid w:val="00DD2BCF"/>
    <w:rsid w:val="00DE7FCD"/>
    <w:rsid w:val="00E003A4"/>
    <w:rsid w:val="00E02F6F"/>
    <w:rsid w:val="00E13A10"/>
    <w:rsid w:val="00E22A16"/>
    <w:rsid w:val="00E26C5F"/>
    <w:rsid w:val="00E35296"/>
    <w:rsid w:val="00E43B58"/>
    <w:rsid w:val="00E60519"/>
    <w:rsid w:val="00E73201"/>
    <w:rsid w:val="00E73799"/>
    <w:rsid w:val="00E805A9"/>
    <w:rsid w:val="00E9057B"/>
    <w:rsid w:val="00EA0339"/>
    <w:rsid w:val="00EB249F"/>
    <w:rsid w:val="00EB543D"/>
    <w:rsid w:val="00EB6BA4"/>
    <w:rsid w:val="00EC02FF"/>
    <w:rsid w:val="00EC4E34"/>
    <w:rsid w:val="00EC5213"/>
    <w:rsid w:val="00EC73D6"/>
    <w:rsid w:val="00EE602C"/>
    <w:rsid w:val="00EE64F1"/>
    <w:rsid w:val="00EE79DE"/>
    <w:rsid w:val="00EF30AA"/>
    <w:rsid w:val="00EF5C8D"/>
    <w:rsid w:val="00EF65E2"/>
    <w:rsid w:val="00EF7660"/>
    <w:rsid w:val="00F00DE8"/>
    <w:rsid w:val="00F044AD"/>
    <w:rsid w:val="00F2282D"/>
    <w:rsid w:val="00F22AA4"/>
    <w:rsid w:val="00F254CC"/>
    <w:rsid w:val="00F30FB3"/>
    <w:rsid w:val="00F351B5"/>
    <w:rsid w:val="00F37721"/>
    <w:rsid w:val="00F4276E"/>
    <w:rsid w:val="00F44BE9"/>
    <w:rsid w:val="00F455F1"/>
    <w:rsid w:val="00F45613"/>
    <w:rsid w:val="00F516FC"/>
    <w:rsid w:val="00F663E1"/>
    <w:rsid w:val="00F67893"/>
    <w:rsid w:val="00F91315"/>
    <w:rsid w:val="00FA4153"/>
    <w:rsid w:val="00FA5FDC"/>
    <w:rsid w:val="00FB1E97"/>
    <w:rsid w:val="00FB20C8"/>
    <w:rsid w:val="00FC0A59"/>
    <w:rsid w:val="00FC0B3B"/>
    <w:rsid w:val="00FC554D"/>
    <w:rsid w:val="00FC55E7"/>
    <w:rsid w:val="00FC7292"/>
    <w:rsid w:val="00FD0939"/>
    <w:rsid w:val="00FE143C"/>
    <w:rsid w:val="00FE1449"/>
    <w:rsid w:val="00FE4E55"/>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nhideWhenUsed/>
    <w:rsid w:val="00AB6F62"/>
    <w:rPr>
      <w:sz w:val="16"/>
      <w:szCs w:val="16"/>
    </w:rPr>
  </w:style>
  <w:style w:type="paragraph" w:styleId="CommentText">
    <w:name w:val="annotation text"/>
    <w:basedOn w:val="Normal"/>
    <w:link w:val="CommentTextChar"/>
    <w:uiPriority w:val="99"/>
    <w:unhideWhenUsed/>
    <w:rsid w:val="00AB6F62"/>
    <w:rPr>
      <w:sz w:val="20"/>
      <w:szCs w:val="20"/>
    </w:rPr>
  </w:style>
  <w:style w:type="character" w:customStyle="1" w:styleId="CommentTextChar">
    <w:name w:val="Comment Text Char"/>
    <w:basedOn w:val="DefaultParagraphFont"/>
    <w:link w:val="CommentText"/>
    <w:uiPriority w:val="99"/>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7A97"/>
    <w:pPr>
      <w:spacing w:after="0" w:line="240" w:lineRule="auto"/>
      <w:ind w:left="360"/>
    </w:pPr>
  </w:style>
  <w:style w:type="paragraph" w:styleId="Revision">
    <w:name w:val="Revision"/>
    <w:hidden/>
    <w:uiPriority w:val="99"/>
    <w:semiHidden/>
    <w:rsid w:val="00193D3C"/>
    <w:pPr>
      <w:spacing w:after="0" w:line="240" w:lineRule="auto"/>
    </w:pPr>
  </w:style>
  <w:style w:type="character" w:customStyle="1" w:styleId="ListParagraphChar">
    <w:name w:val="List Paragraph Char"/>
    <w:link w:val="ListParagraph"/>
    <w:uiPriority w:val="34"/>
    <w:rsid w:val="00C8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asam-criteria/about-the-asam-criteria" TargetMode="External"/><Relationship Id="rId13" Type="http://schemas.openxmlformats.org/officeDocument/2006/relationships/hyperlink" Target="https://hmsa.com/portal/provider/zav_pel.ph.NAT.5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m.org/resources/the-asam-criteria/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dtac/ccp-toolkit" TargetMode="External"/><Relationship Id="rId5" Type="http://schemas.openxmlformats.org/officeDocument/2006/relationships/webSettings" Target="webSettings.xml"/><Relationship Id="rId15" Type="http://schemas.openxmlformats.org/officeDocument/2006/relationships/hyperlink" Target="https://www.cms.gov/Regulations-and-Guidance/Administrative-Simplification/NationalProvIdentStand/" TargetMode="External"/><Relationship Id="rId10" Type="http://schemas.openxmlformats.org/officeDocument/2006/relationships/hyperlink" Target="http://www.myfloridacfo.com/aadir/reference_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flfamilies.com/service-programs/homelessness" TargetMode="External"/><Relationship Id="rId14" Type="http://schemas.openxmlformats.org/officeDocument/2006/relationships/hyperlink" Target="https://nppes.cms.hhs.gov/NPPES/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1CD8-5F77-454E-903A-689F1F61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7627</Words>
  <Characters>44390</Characters>
  <Application>Microsoft Office Word</Application>
  <DocSecurity>0</DocSecurity>
  <Lines>822</Lines>
  <Paragraphs>547</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5</cp:revision>
  <cp:lastPrinted>2020-02-17T20:24:00Z</cp:lastPrinted>
  <dcterms:created xsi:type="dcterms:W3CDTF">2023-10-09T17:10:00Z</dcterms:created>
  <dcterms:modified xsi:type="dcterms:W3CDTF">2023-10-31T18:34:00Z</dcterms:modified>
</cp:coreProperties>
</file>